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E413B" w14:textId="77777777" w:rsidR="00A64995" w:rsidRPr="00897CE6" w:rsidRDefault="00A64995" w:rsidP="00A64995">
      <w:pPr>
        <w:spacing w:after="0"/>
        <w:jc w:val="center"/>
        <w:rPr>
          <w:rFonts w:ascii="Verdana" w:hAnsi="Verdana"/>
          <w:b/>
          <w:bCs/>
          <w:sz w:val="20"/>
          <w:szCs w:val="20"/>
        </w:rPr>
      </w:pPr>
      <w:r w:rsidRPr="00897CE6">
        <w:rPr>
          <w:rFonts w:ascii="Verdana" w:hAnsi="Verdana"/>
          <w:b/>
          <w:bCs/>
          <w:sz w:val="20"/>
          <w:szCs w:val="20"/>
        </w:rPr>
        <w:t>PARTE 2</w:t>
      </w:r>
    </w:p>
    <w:p w14:paraId="7A99189F" w14:textId="77777777" w:rsidR="00A64995" w:rsidRPr="00897CE6" w:rsidRDefault="00A64995" w:rsidP="00A64995">
      <w:pPr>
        <w:spacing w:after="0"/>
        <w:jc w:val="center"/>
        <w:rPr>
          <w:rFonts w:ascii="Verdana" w:hAnsi="Verdana"/>
          <w:b/>
          <w:bCs/>
          <w:sz w:val="20"/>
          <w:szCs w:val="20"/>
        </w:rPr>
      </w:pPr>
      <w:r w:rsidRPr="00897CE6">
        <w:rPr>
          <w:rFonts w:ascii="Verdana" w:hAnsi="Verdana"/>
          <w:b/>
          <w:bCs/>
          <w:sz w:val="20"/>
          <w:szCs w:val="20"/>
        </w:rPr>
        <w:t>CONTROLES DE LEY Y ASUNTOS PRUDENCIALES</w:t>
      </w:r>
    </w:p>
    <w:p w14:paraId="5E5281B3" w14:textId="77777777" w:rsidR="00A64995" w:rsidRPr="00897CE6" w:rsidRDefault="00A64995" w:rsidP="00A64995">
      <w:pPr>
        <w:spacing w:after="0"/>
        <w:jc w:val="center"/>
        <w:rPr>
          <w:rFonts w:ascii="Verdana" w:hAnsi="Verdana"/>
          <w:b/>
          <w:bCs/>
          <w:sz w:val="20"/>
          <w:szCs w:val="20"/>
        </w:rPr>
      </w:pPr>
    </w:p>
    <w:p w14:paraId="1E468646" w14:textId="77777777" w:rsidR="00A64995" w:rsidRPr="00897CE6" w:rsidRDefault="00A64995" w:rsidP="00A64995">
      <w:pPr>
        <w:spacing w:after="0"/>
        <w:jc w:val="center"/>
        <w:rPr>
          <w:rFonts w:ascii="Verdana" w:hAnsi="Verdana"/>
          <w:b/>
          <w:bCs/>
          <w:sz w:val="20"/>
          <w:szCs w:val="20"/>
        </w:rPr>
      </w:pPr>
      <w:r w:rsidRPr="00897CE6">
        <w:rPr>
          <w:rFonts w:ascii="Verdana" w:hAnsi="Verdana"/>
          <w:b/>
          <w:bCs/>
          <w:sz w:val="20"/>
          <w:szCs w:val="20"/>
        </w:rPr>
        <w:t>CAPÍTULO 10</w:t>
      </w:r>
    </w:p>
    <w:p w14:paraId="3A3B0010" w14:textId="1299E188" w:rsidR="00A64995" w:rsidRDefault="00A64995" w:rsidP="00A64995">
      <w:pPr>
        <w:pStyle w:val="paragraph"/>
        <w:spacing w:before="0" w:beforeAutospacing="0" w:after="0" w:afterAutospacing="0"/>
        <w:jc w:val="center"/>
        <w:textAlignment w:val="baseline"/>
        <w:rPr>
          <w:rFonts w:ascii="Verdana" w:hAnsi="Verdana" w:cs="Arial"/>
          <w:b/>
          <w:sz w:val="20"/>
          <w:szCs w:val="20"/>
        </w:rPr>
      </w:pPr>
      <w:r w:rsidRPr="00897CE6">
        <w:rPr>
          <w:rFonts w:ascii="Verdana" w:hAnsi="Verdana" w:cs="Arial"/>
          <w:b/>
          <w:sz w:val="20"/>
          <w:szCs w:val="20"/>
        </w:rPr>
        <w:t>NORMAS PARA LA IDENTIFICACIÓN Y GESTIÓN DE LAS GRANDES EXPOSICIONES Y CONCENTRACIÓN DE RIESGOS DE LOS ESTABLECIMIENTOS DE CRÉDITO, Y DE LOS CUPOS INDIVIDUALES DE CRÉDITO DE LAS DEMÁS ENTIDADES VIGILADAS</w:t>
      </w:r>
    </w:p>
    <w:p w14:paraId="74EE5333" w14:textId="77777777" w:rsidR="00A64995" w:rsidRDefault="00A64995" w:rsidP="00A64995">
      <w:pPr>
        <w:pStyle w:val="paragraph"/>
        <w:spacing w:before="0" w:beforeAutospacing="0" w:after="0" w:afterAutospacing="0"/>
        <w:jc w:val="center"/>
        <w:textAlignment w:val="baseline"/>
        <w:rPr>
          <w:rStyle w:val="normaltextrun"/>
          <w:rFonts w:ascii="Verdana" w:hAnsi="Verdana" w:cs="Arial"/>
          <w:b/>
          <w:bCs/>
          <w:sz w:val="20"/>
          <w:szCs w:val="20"/>
        </w:rPr>
      </w:pPr>
    </w:p>
    <w:p w14:paraId="1F51407C" w14:textId="353B47A7" w:rsidR="00A64995" w:rsidRDefault="00A64995" w:rsidP="00CF1B34">
      <w:pPr>
        <w:pStyle w:val="paragraph"/>
        <w:spacing w:before="0" w:beforeAutospacing="0" w:after="0" w:afterAutospacing="0"/>
        <w:jc w:val="center"/>
        <w:textAlignment w:val="baseline"/>
        <w:rPr>
          <w:rStyle w:val="normaltextrun"/>
          <w:rFonts w:ascii="Verdana" w:hAnsi="Verdana" w:cs="Arial"/>
          <w:b/>
          <w:bCs/>
          <w:sz w:val="20"/>
          <w:szCs w:val="20"/>
        </w:rPr>
      </w:pPr>
      <w:r w:rsidRPr="00897CE6">
        <w:rPr>
          <w:rStyle w:val="normaltextrun"/>
          <w:rFonts w:ascii="Verdana" w:hAnsi="Verdana" w:cs="Arial"/>
          <w:b/>
          <w:bCs/>
          <w:sz w:val="20"/>
          <w:szCs w:val="20"/>
        </w:rPr>
        <w:t>SECCIÓN</w:t>
      </w:r>
      <w:r w:rsidR="00CF1B34" w:rsidRPr="00897CE6">
        <w:rPr>
          <w:rStyle w:val="normaltextrun"/>
          <w:rFonts w:ascii="Verdana" w:hAnsi="Verdana" w:cs="Arial"/>
          <w:b/>
          <w:bCs/>
          <w:sz w:val="20"/>
          <w:szCs w:val="20"/>
        </w:rPr>
        <w:t xml:space="preserve"> </w:t>
      </w:r>
      <w:r w:rsidR="001F3CA5">
        <w:rPr>
          <w:rStyle w:val="normaltextrun"/>
          <w:rFonts w:ascii="Verdana" w:hAnsi="Verdana" w:cs="Arial"/>
          <w:b/>
          <w:bCs/>
          <w:sz w:val="20"/>
          <w:szCs w:val="20"/>
        </w:rPr>
        <w:t>2</w:t>
      </w:r>
    </w:p>
    <w:p w14:paraId="5C43A81E" w14:textId="49A1B2BF" w:rsidR="00CF1B34" w:rsidRPr="00897CE6" w:rsidRDefault="00CF1B34" w:rsidP="00CF1B34">
      <w:pPr>
        <w:pStyle w:val="paragraph"/>
        <w:spacing w:before="0" w:beforeAutospacing="0" w:after="0" w:afterAutospacing="0"/>
        <w:jc w:val="center"/>
        <w:textAlignment w:val="baseline"/>
        <w:rPr>
          <w:rFonts w:ascii="Verdana" w:hAnsi="Verdana" w:cs="Arial"/>
          <w:b/>
          <w:bCs/>
          <w:sz w:val="20"/>
          <w:szCs w:val="20"/>
        </w:rPr>
      </w:pPr>
      <w:r w:rsidRPr="00897CE6">
        <w:rPr>
          <w:rStyle w:val="normaltextrun"/>
          <w:rFonts w:ascii="Verdana" w:hAnsi="Verdana" w:cs="Arial"/>
          <w:b/>
          <w:bCs/>
          <w:sz w:val="20"/>
          <w:szCs w:val="20"/>
        </w:rPr>
        <w:t>GRANDES EXPOSICIONES Y CONCENTRACIÓN DE RIESGOS DE LOS ESTABLECIMIENTOS DE CRÉDITO</w:t>
      </w:r>
    </w:p>
    <w:p w14:paraId="2A956948" w14:textId="77777777" w:rsidR="00CF1B34" w:rsidRPr="00897CE6" w:rsidRDefault="00CF1B34" w:rsidP="00CF1B34">
      <w:pPr>
        <w:rPr>
          <w:rFonts w:ascii="Verdana" w:hAnsi="Verdana" w:cs="Arial"/>
          <w:b/>
          <w:sz w:val="20"/>
          <w:szCs w:val="20"/>
        </w:rPr>
      </w:pPr>
    </w:p>
    <w:p w14:paraId="0629D7E7" w14:textId="77777777" w:rsidR="00F34EC7" w:rsidRDefault="00F34EC7" w:rsidP="00F34EC7">
      <w:pPr>
        <w:spacing w:after="0" w:line="240" w:lineRule="auto"/>
        <w:rPr>
          <w:rFonts w:ascii="Verdana" w:hAnsi="Verdana" w:cs="Arial"/>
          <w:b/>
          <w:sz w:val="20"/>
          <w:szCs w:val="20"/>
        </w:rPr>
      </w:pPr>
    </w:p>
    <w:p w14:paraId="06E731CF" w14:textId="2F73BD17" w:rsidR="00CF1B34" w:rsidRPr="00897CE6" w:rsidRDefault="00F34EC7" w:rsidP="00F34EC7">
      <w:pPr>
        <w:spacing w:after="0" w:line="240" w:lineRule="auto"/>
        <w:rPr>
          <w:rFonts w:ascii="Verdana" w:hAnsi="Verdana" w:cs="Arial"/>
          <w:b/>
          <w:sz w:val="20"/>
          <w:szCs w:val="20"/>
        </w:rPr>
      </w:pPr>
      <w:r w:rsidRPr="00BF2C6C">
        <w:rPr>
          <w:rFonts w:ascii="Verdana" w:hAnsi="Verdana" w:cs="Arial"/>
          <w:b/>
          <w:sz w:val="20"/>
          <w:szCs w:val="20"/>
        </w:rPr>
        <w:t>GRANDES EXPOSICIONES Y LÍMITES APLICABLES</w:t>
      </w:r>
    </w:p>
    <w:p w14:paraId="680A5B68" w14:textId="77777777" w:rsidR="00F34EC7" w:rsidRDefault="00F34EC7" w:rsidP="00167902">
      <w:pPr>
        <w:tabs>
          <w:tab w:val="left" w:pos="540"/>
        </w:tabs>
        <w:spacing w:after="0" w:line="240" w:lineRule="auto"/>
        <w:jc w:val="both"/>
        <w:rPr>
          <w:rFonts w:ascii="Verdana" w:hAnsi="Verdana" w:cs="Arial"/>
          <w:bCs/>
          <w:sz w:val="20"/>
          <w:szCs w:val="20"/>
        </w:rPr>
      </w:pPr>
    </w:p>
    <w:p w14:paraId="409BA754" w14:textId="5C87FD39" w:rsidR="00167902" w:rsidRDefault="00167902" w:rsidP="00167902">
      <w:pPr>
        <w:tabs>
          <w:tab w:val="left" w:pos="540"/>
        </w:tabs>
        <w:spacing w:after="0" w:line="240" w:lineRule="auto"/>
        <w:jc w:val="both"/>
        <w:rPr>
          <w:rFonts w:ascii="Verdana" w:hAnsi="Verdana" w:cs="Arial"/>
          <w:bCs/>
          <w:sz w:val="20"/>
          <w:szCs w:val="20"/>
        </w:rPr>
      </w:pPr>
      <w:r>
        <w:rPr>
          <w:rFonts w:ascii="Verdana" w:hAnsi="Verdana" w:cs="Arial"/>
          <w:bCs/>
          <w:sz w:val="20"/>
          <w:szCs w:val="20"/>
        </w:rPr>
        <w:t>2.10.2.1.</w:t>
      </w:r>
    </w:p>
    <w:p w14:paraId="6E6E7E68" w14:textId="4ECE6352" w:rsidR="00CF1B34" w:rsidRPr="00897CE6" w:rsidRDefault="00CF1B34" w:rsidP="00CF1B34">
      <w:pPr>
        <w:jc w:val="both"/>
        <w:rPr>
          <w:rFonts w:ascii="Verdana" w:hAnsi="Verdana" w:cs="Arial"/>
          <w:bCs/>
          <w:sz w:val="20"/>
          <w:szCs w:val="20"/>
        </w:rPr>
      </w:pPr>
      <w:r w:rsidRPr="00897CE6">
        <w:rPr>
          <w:rFonts w:ascii="Verdana" w:hAnsi="Verdana" w:cs="Arial"/>
          <w:bCs/>
          <w:sz w:val="20"/>
          <w:szCs w:val="20"/>
        </w:rPr>
        <w:t>Para los fines del presente capítulo, se considera que existe una gran exposición cuando la suma del valor de las exposiciones con una misma contraparte o con un grupo conectado de contrapartes, directa o indirectamente, conjunta o separadamente, sea igual o superior al 10 % de la base de patrimonio para el cálculo de la Relación de Solvencia Básica Adicional, es decir, la suma del Patrimonio Básico Ordinario Neto de Deducciones y el Patrimonio Básico Adicional calculados de acuerdo con</w:t>
      </w:r>
      <w:r w:rsidR="00CB3077">
        <w:rPr>
          <w:rFonts w:ascii="Verdana" w:hAnsi="Verdana" w:cs="Arial"/>
          <w:bCs/>
          <w:sz w:val="20"/>
          <w:szCs w:val="20"/>
        </w:rPr>
        <w:t xml:space="preserve"> el capítulo 1 de la parte 2 de la CB</w:t>
      </w:r>
      <w:r w:rsidR="00F32ACD">
        <w:rPr>
          <w:rFonts w:ascii="Verdana" w:hAnsi="Verdana" w:cs="Arial"/>
          <w:bCs/>
          <w:sz w:val="20"/>
          <w:szCs w:val="20"/>
        </w:rPr>
        <w:t>F</w:t>
      </w:r>
      <w:r w:rsidR="00CB3077">
        <w:rPr>
          <w:rFonts w:ascii="Verdana" w:hAnsi="Verdana" w:cs="Arial"/>
          <w:bCs/>
          <w:sz w:val="20"/>
          <w:szCs w:val="20"/>
        </w:rPr>
        <w:t>.</w:t>
      </w:r>
    </w:p>
    <w:p w14:paraId="7755485D" w14:textId="4FC7825E" w:rsidR="00167902" w:rsidRDefault="00167902" w:rsidP="00167902">
      <w:pPr>
        <w:tabs>
          <w:tab w:val="left" w:pos="540"/>
        </w:tabs>
        <w:spacing w:after="0" w:line="240" w:lineRule="auto"/>
        <w:jc w:val="both"/>
        <w:rPr>
          <w:rFonts w:ascii="Verdana" w:hAnsi="Verdana" w:cs="Arial"/>
          <w:bCs/>
          <w:sz w:val="20"/>
          <w:szCs w:val="20"/>
        </w:rPr>
      </w:pPr>
      <w:r>
        <w:rPr>
          <w:rFonts w:ascii="Verdana" w:hAnsi="Verdana" w:cs="Arial"/>
          <w:bCs/>
          <w:sz w:val="20"/>
          <w:szCs w:val="20"/>
        </w:rPr>
        <w:t>2.10.2.2.</w:t>
      </w:r>
    </w:p>
    <w:p w14:paraId="77B11B62" w14:textId="0B0B1CA5" w:rsidR="00CF1B34" w:rsidRPr="00897CE6" w:rsidRDefault="00CF1B34" w:rsidP="2A78066E">
      <w:pPr>
        <w:jc w:val="both"/>
        <w:rPr>
          <w:rFonts w:ascii="Verdana" w:hAnsi="Verdana" w:cs="Arial"/>
          <w:sz w:val="20"/>
          <w:szCs w:val="20"/>
        </w:rPr>
      </w:pPr>
      <w:r w:rsidRPr="2A78066E">
        <w:rPr>
          <w:rFonts w:ascii="Verdana" w:hAnsi="Verdana" w:cs="Arial"/>
          <w:sz w:val="20"/>
          <w:szCs w:val="20"/>
        </w:rPr>
        <w:t xml:space="preserve">De acuerdo con el artículo 2.1.2.1.13 del Decreto 2555 de 2010, las entidades deben cumplir de manera permanente los límites previstos en el presente capítulo. Igualmente, la identificación, evaluación, gestión y control de las grandes exposiciones debe realizarse a nivel individual y consolidado, en los términos del presente capítulo. </w:t>
      </w:r>
    </w:p>
    <w:p w14:paraId="33E13C59" w14:textId="1BC4A4BC" w:rsidR="00167902" w:rsidRDefault="00167902" w:rsidP="00167902">
      <w:pPr>
        <w:tabs>
          <w:tab w:val="left" w:pos="540"/>
        </w:tabs>
        <w:spacing w:after="0" w:line="240" w:lineRule="auto"/>
        <w:jc w:val="both"/>
        <w:rPr>
          <w:rFonts w:ascii="Verdana" w:hAnsi="Verdana" w:cs="Arial"/>
          <w:bCs/>
          <w:sz w:val="20"/>
          <w:szCs w:val="20"/>
        </w:rPr>
      </w:pPr>
      <w:r>
        <w:rPr>
          <w:rFonts w:ascii="Verdana" w:hAnsi="Verdana" w:cs="Arial"/>
          <w:bCs/>
          <w:sz w:val="20"/>
          <w:szCs w:val="20"/>
        </w:rPr>
        <w:t>2.10.2.3.</w:t>
      </w:r>
    </w:p>
    <w:p w14:paraId="6FCCDB08" w14:textId="44569047" w:rsidR="00CF1B34" w:rsidRPr="00897CE6" w:rsidRDefault="00CF1B34" w:rsidP="00CF1B34">
      <w:pPr>
        <w:jc w:val="both"/>
        <w:rPr>
          <w:rFonts w:ascii="Verdana" w:hAnsi="Verdana" w:cs="Arial"/>
          <w:sz w:val="20"/>
          <w:szCs w:val="20"/>
        </w:rPr>
      </w:pPr>
      <w:r w:rsidRPr="00897CE6">
        <w:rPr>
          <w:rFonts w:ascii="Verdana" w:hAnsi="Verdana" w:cs="Arial"/>
          <w:sz w:val="20"/>
          <w:szCs w:val="20"/>
        </w:rPr>
        <w:t xml:space="preserve">Para estos propósitos, de acuerdo con el artículo 2.1.2.1.3 del Decreto 2555 de 2010, se entiende por exposiciones todo el conjunto de activos, exposiciones, contingencias y garantías sujetas a las disposiciones del Decreto 2555 de 2010 y a las instrucciones del presente capítulo. </w:t>
      </w:r>
    </w:p>
    <w:p w14:paraId="73DFAEAC" w14:textId="01E74AA0" w:rsidR="00CF1B34" w:rsidRPr="00C2321E" w:rsidRDefault="00CF1B34" w:rsidP="00F34EC7">
      <w:pPr>
        <w:spacing w:after="0" w:line="240" w:lineRule="auto"/>
        <w:jc w:val="both"/>
        <w:rPr>
          <w:rFonts w:ascii="Verdana" w:hAnsi="Verdana" w:cs="Arial"/>
          <w:b/>
          <w:sz w:val="20"/>
          <w:szCs w:val="20"/>
        </w:rPr>
      </w:pPr>
      <w:r w:rsidRPr="00C2321E">
        <w:rPr>
          <w:rFonts w:ascii="Verdana" w:hAnsi="Verdana" w:cs="Arial"/>
          <w:b/>
          <w:sz w:val="20"/>
          <w:szCs w:val="20"/>
        </w:rPr>
        <w:t xml:space="preserve">Límites individuales y conjuntos </w:t>
      </w:r>
      <w:r w:rsidR="00C2321E">
        <w:rPr>
          <w:rFonts w:ascii="Verdana" w:hAnsi="Verdana" w:cs="Arial"/>
          <w:b/>
          <w:sz w:val="20"/>
          <w:szCs w:val="20"/>
        </w:rPr>
        <w:t>para</w:t>
      </w:r>
      <w:r w:rsidRPr="00C2321E">
        <w:rPr>
          <w:rFonts w:ascii="Verdana" w:hAnsi="Verdana" w:cs="Arial"/>
          <w:b/>
          <w:sz w:val="20"/>
          <w:szCs w:val="20"/>
        </w:rPr>
        <w:t xml:space="preserve"> las grandes exposiciones</w:t>
      </w:r>
    </w:p>
    <w:p w14:paraId="3E8C83D3" w14:textId="77777777" w:rsidR="00C2321E" w:rsidRDefault="00C2321E" w:rsidP="00C2321E">
      <w:pPr>
        <w:tabs>
          <w:tab w:val="left" w:pos="540"/>
        </w:tabs>
        <w:spacing w:after="0" w:line="240" w:lineRule="auto"/>
        <w:jc w:val="both"/>
        <w:rPr>
          <w:rFonts w:ascii="Verdana" w:hAnsi="Verdana" w:cs="Arial"/>
          <w:bCs/>
          <w:sz w:val="20"/>
          <w:szCs w:val="20"/>
        </w:rPr>
      </w:pPr>
    </w:p>
    <w:p w14:paraId="2BCC9A1B" w14:textId="724776AC" w:rsidR="00C2321E" w:rsidRDefault="00C2321E" w:rsidP="00C2321E">
      <w:pPr>
        <w:tabs>
          <w:tab w:val="left" w:pos="540"/>
        </w:tabs>
        <w:spacing w:after="0" w:line="240" w:lineRule="auto"/>
        <w:jc w:val="both"/>
        <w:rPr>
          <w:rFonts w:ascii="Verdana" w:hAnsi="Verdana" w:cs="Arial"/>
          <w:bCs/>
          <w:sz w:val="20"/>
          <w:szCs w:val="20"/>
        </w:rPr>
      </w:pPr>
      <w:r>
        <w:rPr>
          <w:rFonts w:ascii="Verdana" w:hAnsi="Verdana" w:cs="Arial"/>
          <w:bCs/>
          <w:sz w:val="20"/>
          <w:szCs w:val="20"/>
        </w:rPr>
        <w:t>2.10.2.</w:t>
      </w:r>
      <w:r w:rsidR="00EE38EC">
        <w:rPr>
          <w:rFonts w:ascii="Verdana" w:hAnsi="Verdana" w:cs="Arial"/>
          <w:bCs/>
          <w:sz w:val="20"/>
          <w:szCs w:val="20"/>
        </w:rPr>
        <w:t>4</w:t>
      </w:r>
      <w:r>
        <w:rPr>
          <w:rFonts w:ascii="Verdana" w:hAnsi="Verdana" w:cs="Arial"/>
          <w:bCs/>
          <w:sz w:val="20"/>
          <w:szCs w:val="20"/>
        </w:rPr>
        <w:t>.</w:t>
      </w:r>
    </w:p>
    <w:p w14:paraId="13850063" w14:textId="183DE6C2" w:rsidR="008E5AA8" w:rsidRPr="00C2321E" w:rsidRDefault="00CF1B34" w:rsidP="00C2321E">
      <w:pPr>
        <w:tabs>
          <w:tab w:val="left" w:pos="540"/>
        </w:tabs>
        <w:spacing w:after="0" w:line="240" w:lineRule="auto"/>
        <w:jc w:val="both"/>
        <w:rPr>
          <w:rFonts w:ascii="Verdana" w:hAnsi="Verdana" w:cs="Arial"/>
          <w:bCs/>
          <w:sz w:val="20"/>
          <w:szCs w:val="20"/>
        </w:rPr>
      </w:pPr>
      <w:r w:rsidRPr="00C2321E">
        <w:rPr>
          <w:rFonts w:ascii="Verdana" w:hAnsi="Verdana" w:cs="Arial"/>
          <w:bCs/>
          <w:sz w:val="20"/>
          <w:szCs w:val="20"/>
        </w:rPr>
        <w:t xml:space="preserve">En virtud de lo dispuesto en el artículo 2.1.2.1.10 del Decreto 2555 de 2010, ninguna exposición directa o indirecta con una contraparte o grupo conectado de contrapartes puede ser superior, de forma conjunta o separada, al 25% de la base de patrimonio para el cálculo de la Relación de Solvencia Básica Adicional, es decir, la suma del Patrimonio Básico Ordinario Neto de Deducciones y el Patrimonio Básico Adicional calculados de acuerdo </w:t>
      </w:r>
      <w:r w:rsidR="00CB66BC">
        <w:rPr>
          <w:rFonts w:ascii="Verdana" w:hAnsi="Verdana" w:cs="Arial"/>
          <w:bCs/>
          <w:sz w:val="20"/>
          <w:szCs w:val="20"/>
        </w:rPr>
        <w:t xml:space="preserve">con las instrucciones del </w:t>
      </w:r>
      <w:r w:rsidR="003B23A7">
        <w:rPr>
          <w:rFonts w:ascii="Verdana" w:hAnsi="Verdana" w:cs="Arial"/>
          <w:bCs/>
          <w:sz w:val="20"/>
          <w:szCs w:val="20"/>
        </w:rPr>
        <w:t xml:space="preserve">capítulo 1 de la parte 2 de la </w:t>
      </w:r>
      <w:r w:rsidR="00F32ACD">
        <w:rPr>
          <w:rFonts w:ascii="Verdana" w:hAnsi="Verdana" w:cs="Arial"/>
          <w:bCs/>
          <w:sz w:val="20"/>
          <w:szCs w:val="20"/>
        </w:rPr>
        <w:t>CBF</w:t>
      </w:r>
      <w:r w:rsidR="003B23A7">
        <w:rPr>
          <w:rFonts w:ascii="Verdana" w:hAnsi="Verdana" w:cs="Arial"/>
          <w:bCs/>
          <w:sz w:val="20"/>
          <w:szCs w:val="20"/>
        </w:rPr>
        <w:t>,</w:t>
      </w:r>
      <w:r w:rsidRPr="00C2321E">
        <w:rPr>
          <w:rFonts w:ascii="Verdana" w:hAnsi="Verdana" w:cs="Arial"/>
          <w:bCs/>
          <w:sz w:val="20"/>
          <w:szCs w:val="20"/>
        </w:rPr>
        <w:t xml:space="preserve"> en concordancia con el artículo 2.1.1.1.3 del Decreto 2555 de 2010.</w:t>
      </w:r>
    </w:p>
    <w:p w14:paraId="178CDC11" w14:textId="77777777" w:rsidR="00C2321E" w:rsidRDefault="00C2321E" w:rsidP="00C2321E">
      <w:pPr>
        <w:tabs>
          <w:tab w:val="left" w:pos="540"/>
        </w:tabs>
        <w:spacing w:after="0" w:line="240" w:lineRule="auto"/>
        <w:jc w:val="both"/>
        <w:rPr>
          <w:rFonts w:ascii="Verdana" w:hAnsi="Verdana" w:cs="Arial"/>
          <w:sz w:val="20"/>
          <w:szCs w:val="20"/>
        </w:rPr>
      </w:pPr>
    </w:p>
    <w:p w14:paraId="3B1F67D7" w14:textId="4360C782" w:rsidR="00C2321E" w:rsidRDefault="00C2321E" w:rsidP="00C2321E">
      <w:pPr>
        <w:tabs>
          <w:tab w:val="left" w:pos="540"/>
        </w:tabs>
        <w:spacing w:after="0" w:line="240" w:lineRule="auto"/>
        <w:jc w:val="both"/>
        <w:rPr>
          <w:rFonts w:ascii="Verdana" w:hAnsi="Verdana" w:cs="Arial"/>
          <w:bCs/>
          <w:sz w:val="20"/>
          <w:szCs w:val="20"/>
        </w:rPr>
      </w:pPr>
      <w:r>
        <w:rPr>
          <w:rFonts w:ascii="Verdana" w:hAnsi="Verdana" w:cs="Arial"/>
          <w:bCs/>
          <w:sz w:val="20"/>
          <w:szCs w:val="20"/>
        </w:rPr>
        <w:t>2.10.2.</w:t>
      </w:r>
      <w:r w:rsidR="00A14207">
        <w:rPr>
          <w:rFonts w:ascii="Verdana" w:hAnsi="Verdana" w:cs="Arial"/>
          <w:bCs/>
          <w:sz w:val="20"/>
          <w:szCs w:val="20"/>
        </w:rPr>
        <w:t>5</w:t>
      </w:r>
      <w:r>
        <w:rPr>
          <w:rFonts w:ascii="Verdana" w:hAnsi="Verdana" w:cs="Arial"/>
          <w:bCs/>
          <w:sz w:val="20"/>
          <w:szCs w:val="20"/>
        </w:rPr>
        <w:t>.</w:t>
      </w:r>
    </w:p>
    <w:p w14:paraId="10E6F87F" w14:textId="1FAAF7A5" w:rsidR="0028604A" w:rsidRPr="005B67C2" w:rsidRDefault="00CF1B34" w:rsidP="005B67C2">
      <w:pPr>
        <w:tabs>
          <w:tab w:val="left" w:pos="540"/>
        </w:tabs>
        <w:spacing w:after="0" w:line="240" w:lineRule="auto"/>
        <w:jc w:val="both"/>
        <w:rPr>
          <w:rFonts w:ascii="Verdana" w:hAnsi="Verdana" w:cs="Arial"/>
          <w:sz w:val="20"/>
          <w:szCs w:val="20"/>
        </w:rPr>
      </w:pPr>
      <w:r w:rsidRPr="00C2321E">
        <w:rPr>
          <w:rFonts w:ascii="Verdana" w:hAnsi="Verdana" w:cs="Arial"/>
          <w:sz w:val="20"/>
          <w:szCs w:val="20"/>
        </w:rPr>
        <w:t xml:space="preserve">Igualmente, en concordancia con el artículo 2.1.2.1.12 del Decreto 2555 de 2010, y sin perjuicio del límite individual señalado en el inciso anterior, ninguna entidad podrá tener una suma de grandes exposiciones en los términos </w:t>
      </w:r>
      <w:r w:rsidR="00220C63">
        <w:rPr>
          <w:rFonts w:ascii="Verdana" w:hAnsi="Verdana" w:cs="Arial"/>
          <w:sz w:val="20"/>
          <w:szCs w:val="20"/>
        </w:rPr>
        <w:t>previstos entre los párrafos 2.10.2.1. y 2.10.2</w:t>
      </w:r>
      <w:r w:rsidR="00074901">
        <w:rPr>
          <w:rFonts w:ascii="Verdana" w:hAnsi="Verdana" w:cs="Arial"/>
          <w:sz w:val="20"/>
          <w:szCs w:val="20"/>
        </w:rPr>
        <w:t>.</w:t>
      </w:r>
      <w:r w:rsidR="00220C63">
        <w:rPr>
          <w:rFonts w:ascii="Verdana" w:hAnsi="Verdana" w:cs="Arial"/>
          <w:sz w:val="20"/>
          <w:szCs w:val="20"/>
        </w:rPr>
        <w:t>3.</w:t>
      </w:r>
      <w:r w:rsidR="003D1947">
        <w:rPr>
          <w:rFonts w:ascii="Verdana" w:hAnsi="Verdana" w:cs="Arial"/>
          <w:sz w:val="20"/>
          <w:szCs w:val="20"/>
        </w:rPr>
        <w:t xml:space="preserve"> del presente capítulo</w:t>
      </w:r>
      <w:r w:rsidRPr="00C2321E">
        <w:rPr>
          <w:rFonts w:ascii="Verdana" w:hAnsi="Verdana" w:cs="Arial"/>
          <w:sz w:val="20"/>
          <w:szCs w:val="20"/>
        </w:rPr>
        <w:t xml:space="preserve">, de tal forma que su valor agregado resulte superior a 8 veces la base de patrimonio para el cálculo de la Relación de Solvencia Básica Adicional, es decir, la suma del Patrimonio Básico Ordinario Neto de Deducciones y el Patrimonio Básico Adicional </w:t>
      </w:r>
      <w:r w:rsidR="00220C63" w:rsidRPr="00C2321E">
        <w:rPr>
          <w:rFonts w:ascii="Verdana" w:hAnsi="Verdana" w:cs="Arial"/>
          <w:bCs/>
          <w:sz w:val="20"/>
          <w:szCs w:val="20"/>
        </w:rPr>
        <w:t xml:space="preserve">calculados de acuerdo </w:t>
      </w:r>
      <w:r w:rsidR="003D1947">
        <w:rPr>
          <w:rFonts w:ascii="Verdana" w:hAnsi="Verdana" w:cs="Arial"/>
          <w:bCs/>
          <w:sz w:val="20"/>
          <w:szCs w:val="20"/>
        </w:rPr>
        <w:t xml:space="preserve">con las instrucciones del </w:t>
      </w:r>
      <w:r w:rsidR="00220C63">
        <w:rPr>
          <w:rFonts w:ascii="Verdana" w:hAnsi="Verdana" w:cs="Arial"/>
          <w:bCs/>
          <w:sz w:val="20"/>
          <w:szCs w:val="20"/>
        </w:rPr>
        <w:t xml:space="preserve">capítulo 1 de la parte 2 de la </w:t>
      </w:r>
      <w:r w:rsidR="00F32ACD">
        <w:rPr>
          <w:rFonts w:ascii="Verdana" w:hAnsi="Verdana" w:cs="Arial"/>
          <w:bCs/>
          <w:sz w:val="20"/>
          <w:szCs w:val="20"/>
        </w:rPr>
        <w:t>CBF</w:t>
      </w:r>
      <w:r w:rsidRPr="00C2321E">
        <w:rPr>
          <w:rFonts w:ascii="Verdana" w:hAnsi="Verdana" w:cs="Arial"/>
          <w:sz w:val="20"/>
          <w:szCs w:val="20"/>
        </w:rPr>
        <w:t>, en concordancia con el artículo 2.1.1.1.3 del Decreto 2555 de 2010.</w:t>
      </w:r>
    </w:p>
    <w:p w14:paraId="6876118C" w14:textId="77777777" w:rsidR="0028604A" w:rsidRDefault="0028604A" w:rsidP="00167902">
      <w:pPr>
        <w:spacing w:after="0" w:line="240" w:lineRule="auto"/>
        <w:jc w:val="both"/>
        <w:rPr>
          <w:rFonts w:ascii="Verdana" w:hAnsi="Verdana" w:cs="Arial"/>
          <w:b/>
          <w:sz w:val="20"/>
          <w:szCs w:val="20"/>
        </w:rPr>
      </w:pPr>
    </w:p>
    <w:p w14:paraId="04EE4F35" w14:textId="66EB35A6" w:rsidR="00CF1B34" w:rsidRPr="00BF2C6C" w:rsidRDefault="00C2321E" w:rsidP="00167902">
      <w:pPr>
        <w:spacing w:after="0" w:line="240" w:lineRule="auto"/>
        <w:jc w:val="both"/>
        <w:rPr>
          <w:rFonts w:ascii="Verdana" w:hAnsi="Verdana" w:cs="Arial"/>
          <w:b/>
          <w:sz w:val="20"/>
          <w:szCs w:val="20"/>
        </w:rPr>
      </w:pPr>
      <w:r w:rsidRPr="00BF2C6C">
        <w:rPr>
          <w:rFonts w:ascii="Verdana" w:hAnsi="Verdana" w:cs="Arial"/>
          <w:b/>
          <w:sz w:val="20"/>
          <w:szCs w:val="20"/>
        </w:rPr>
        <w:t>GRUPO CONECTADO DE CONTRAPARTES</w:t>
      </w:r>
    </w:p>
    <w:p w14:paraId="20D21547" w14:textId="77777777" w:rsidR="00C2321E" w:rsidRDefault="00C2321E" w:rsidP="006A343D">
      <w:pPr>
        <w:tabs>
          <w:tab w:val="left" w:pos="540"/>
        </w:tabs>
        <w:spacing w:after="0" w:line="240" w:lineRule="auto"/>
        <w:jc w:val="both"/>
        <w:rPr>
          <w:rFonts w:ascii="Verdana" w:hAnsi="Verdana" w:cs="Arial"/>
          <w:b/>
          <w:sz w:val="20"/>
          <w:szCs w:val="20"/>
        </w:rPr>
      </w:pPr>
    </w:p>
    <w:p w14:paraId="4E1ABFDE" w14:textId="09F53CA2" w:rsidR="006A343D" w:rsidRDefault="006A343D" w:rsidP="006A343D">
      <w:pPr>
        <w:tabs>
          <w:tab w:val="left" w:pos="540"/>
        </w:tabs>
        <w:spacing w:after="0" w:line="240" w:lineRule="auto"/>
        <w:jc w:val="both"/>
        <w:rPr>
          <w:rFonts w:ascii="Verdana" w:hAnsi="Verdana" w:cs="Arial"/>
          <w:bCs/>
          <w:sz w:val="20"/>
          <w:szCs w:val="20"/>
        </w:rPr>
      </w:pPr>
      <w:r>
        <w:rPr>
          <w:rFonts w:ascii="Verdana" w:hAnsi="Verdana" w:cs="Arial"/>
          <w:bCs/>
          <w:sz w:val="20"/>
          <w:szCs w:val="20"/>
        </w:rPr>
        <w:t>2.10.2.</w:t>
      </w:r>
      <w:r w:rsidR="00A14207">
        <w:rPr>
          <w:rFonts w:ascii="Verdana" w:hAnsi="Verdana" w:cs="Arial"/>
          <w:bCs/>
          <w:sz w:val="20"/>
          <w:szCs w:val="20"/>
        </w:rPr>
        <w:t>6</w:t>
      </w:r>
      <w:r>
        <w:rPr>
          <w:rFonts w:ascii="Verdana" w:hAnsi="Verdana" w:cs="Arial"/>
          <w:bCs/>
          <w:sz w:val="20"/>
          <w:szCs w:val="20"/>
        </w:rPr>
        <w:t>.</w:t>
      </w:r>
    </w:p>
    <w:p w14:paraId="40C325E0" w14:textId="47E9BF52" w:rsidR="00CF1B34" w:rsidRPr="00897CE6" w:rsidRDefault="00CF1B34" w:rsidP="2A78066E">
      <w:pPr>
        <w:jc w:val="both"/>
        <w:rPr>
          <w:rFonts w:ascii="Verdana" w:hAnsi="Verdana" w:cs="Arial"/>
          <w:sz w:val="20"/>
          <w:szCs w:val="20"/>
        </w:rPr>
      </w:pPr>
      <w:r w:rsidRPr="2A78066E">
        <w:rPr>
          <w:rFonts w:ascii="Verdana" w:hAnsi="Verdana" w:cs="Arial"/>
          <w:sz w:val="20"/>
          <w:szCs w:val="20"/>
        </w:rPr>
        <w:t xml:space="preserve">De acuerdo con lo establecido en el artículo 2.1.2.1.7 del Decreto 2555 de 2010, existe un grupo conectado de contrapartes cuando dos o más contrapartes cumplen con al menos una de las siguientes condiciones: (i) enmarcarse en los supuestos de una situación de control, considerando para el efecto cualquiera de las circunstancias reguladas en los artículos 260 y 261 del Código de Comercio y en el artículo 28 de la Ley 222 de 1995, o en cualquier otra norma que los modifique, sustituya o adicione, según el caso; o (ii) cuando pertenecen a un mismo conglomerado financiero en los términos </w:t>
      </w:r>
      <w:r w:rsidRPr="2A78066E">
        <w:rPr>
          <w:rFonts w:ascii="Verdana" w:hAnsi="Verdana" w:cs="Arial"/>
          <w:sz w:val="20"/>
          <w:szCs w:val="20"/>
        </w:rPr>
        <w:lastRenderedPageBreak/>
        <w:t>de la Ley 1870 de 2017 y el Decreto 1486 de 2018, y demás normas que la reglamenten, modifiquen, sustituyan o adicionen; o (iii) cuando incurren en cualquiera de los supuestos de interdependencia económica.</w:t>
      </w:r>
    </w:p>
    <w:p w14:paraId="4C2140B3" w14:textId="7F579B1E" w:rsidR="00167902" w:rsidRDefault="00167902" w:rsidP="00167902">
      <w:pPr>
        <w:tabs>
          <w:tab w:val="left" w:pos="540"/>
        </w:tabs>
        <w:spacing w:after="0" w:line="240" w:lineRule="auto"/>
        <w:jc w:val="both"/>
        <w:rPr>
          <w:rFonts w:ascii="Verdana" w:hAnsi="Verdana" w:cs="Arial"/>
          <w:bCs/>
          <w:sz w:val="20"/>
          <w:szCs w:val="20"/>
        </w:rPr>
      </w:pPr>
      <w:r>
        <w:rPr>
          <w:rFonts w:ascii="Verdana" w:hAnsi="Verdana" w:cs="Arial"/>
          <w:bCs/>
          <w:sz w:val="20"/>
          <w:szCs w:val="20"/>
        </w:rPr>
        <w:t>2.10.2.</w:t>
      </w:r>
      <w:r w:rsidR="00A14207">
        <w:rPr>
          <w:rFonts w:ascii="Verdana" w:hAnsi="Verdana" w:cs="Arial"/>
          <w:bCs/>
          <w:sz w:val="20"/>
          <w:szCs w:val="20"/>
        </w:rPr>
        <w:t>7</w:t>
      </w:r>
      <w:r>
        <w:rPr>
          <w:rFonts w:ascii="Verdana" w:hAnsi="Verdana" w:cs="Arial"/>
          <w:bCs/>
          <w:sz w:val="20"/>
          <w:szCs w:val="20"/>
        </w:rPr>
        <w:t>.</w:t>
      </w:r>
    </w:p>
    <w:p w14:paraId="65545C0A" w14:textId="78067004" w:rsidR="00CF1B34" w:rsidRPr="00897CE6" w:rsidRDefault="00CF1B34" w:rsidP="00CF1B34">
      <w:pPr>
        <w:jc w:val="both"/>
        <w:rPr>
          <w:rFonts w:ascii="Verdana" w:hAnsi="Verdana" w:cs="Arial"/>
          <w:bCs/>
          <w:sz w:val="20"/>
          <w:szCs w:val="20"/>
        </w:rPr>
      </w:pPr>
      <w:r w:rsidRPr="00897CE6">
        <w:rPr>
          <w:rFonts w:ascii="Verdana" w:hAnsi="Verdana" w:cs="Arial"/>
          <w:bCs/>
          <w:sz w:val="20"/>
          <w:szCs w:val="20"/>
        </w:rPr>
        <w:t>En desarrollo de lo previsto en el numeral 3.7. del artículo 2.1.2.1.7 del Decreto 2555 de 2010, además de los criterios señalados en el numeral 3 del citado artículo, se considera que existe una situación de interdependencia económica cuando:</w:t>
      </w:r>
    </w:p>
    <w:p w14:paraId="7EAFB291" w14:textId="5644E843" w:rsidR="00CF1B34" w:rsidRDefault="00CF1B34" w:rsidP="00CF1B34">
      <w:pPr>
        <w:pStyle w:val="Prrafodelista"/>
        <w:numPr>
          <w:ilvl w:val="0"/>
          <w:numId w:val="3"/>
        </w:numPr>
        <w:spacing w:after="0" w:line="240" w:lineRule="auto"/>
        <w:ind w:left="567" w:hanging="567"/>
        <w:jc w:val="both"/>
        <w:rPr>
          <w:rFonts w:ascii="Verdana" w:hAnsi="Verdana" w:cs="Arial"/>
          <w:sz w:val="20"/>
          <w:szCs w:val="20"/>
        </w:rPr>
      </w:pPr>
      <w:r w:rsidRPr="2A78066E">
        <w:rPr>
          <w:rFonts w:ascii="Verdana" w:hAnsi="Verdana" w:cs="Arial"/>
          <w:sz w:val="20"/>
          <w:szCs w:val="20"/>
        </w:rPr>
        <w:t>Se tenga la calidad de accionista o asociado de un porcentaje igual o superior al 20% del capital de otra contraparte. Igualmente, existe situación de interdependencia económica respecto de los cónyuges, compañeros permanentes y/o parientes dentro del segundo grado de consanguinidad, segundo de afinidad y único civil de los accionistas o asociados mencionados en el presente literal.</w:t>
      </w:r>
    </w:p>
    <w:p w14:paraId="741DBA5C" w14:textId="77777777" w:rsidR="0028604A" w:rsidRPr="0028604A" w:rsidRDefault="0028604A" w:rsidP="0028604A">
      <w:pPr>
        <w:pStyle w:val="Prrafodelista"/>
        <w:spacing w:after="0" w:line="240" w:lineRule="auto"/>
        <w:ind w:left="567"/>
        <w:jc w:val="both"/>
        <w:rPr>
          <w:rFonts w:ascii="Verdana" w:hAnsi="Verdana" w:cs="Arial"/>
          <w:sz w:val="20"/>
          <w:szCs w:val="20"/>
        </w:rPr>
      </w:pPr>
    </w:p>
    <w:p w14:paraId="1780630C" w14:textId="29F1031F" w:rsidR="00CF1B34" w:rsidRDefault="00CF1B34" w:rsidP="00CF1B34">
      <w:pPr>
        <w:pStyle w:val="Prrafodelista"/>
        <w:numPr>
          <w:ilvl w:val="0"/>
          <w:numId w:val="3"/>
        </w:numPr>
        <w:spacing w:after="0" w:line="240" w:lineRule="auto"/>
        <w:ind w:left="567" w:hanging="567"/>
        <w:jc w:val="both"/>
        <w:rPr>
          <w:rFonts w:ascii="Verdana" w:hAnsi="Verdana" w:cs="Arial"/>
          <w:sz w:val="20"/>
          <w:szCs w:val="20"/>
        </w:rPr>
      </w:pPr>
      <w:r w:rsidRPr="2A78066E">
        <w:rPr>
          <w:rFonts w:ascii="Verdana" w:hAnsi="Verdana" w:cs="Arial"/>
          <w:sz w:val="20"/>
          <w:szCs w:val="20"/>
        </w:rPr>
        <w:t>Sea probable que una situación de estrés o problemas financieros de una contraparte pueda ocasionar graves problemas financieros a cualquier otra contraparte, incluso sin que se presente una situación de insolvencia.</w:t>
      </w:r>
    </w:p>
    <w:p w14:paraId="7BC37C8B" w14:textId="77777777" w:rsidR="00BC7EFA" w:rsidRPr="00BC7EFA" w:rsidRDefault="00BC7EFA" w:rsidP="00BC7EFA">
      <w:pPr>
        <w:spacing w:after="0" w:line="240" w:lineRule="auto"/>
        <w:jc w:val="both"/>
        <w:rPr>
          <w:rFonts w:ascii="Verdana" w:hAnsi="Verdana" w:cs="Arial"/>
          <w:sz w:val="20"/>
          <w:szCs w:val="20"/>
        </w:rPr>
      </w:pPr>
    </w:p>
    <w:p w14:paraId="3364805A" w14:textId="77777777" w:rsidR="00CF1B34" w:rsidRPr="00897CE6" w:rsidRDefault="00CF1B34" w:rsidP="00C2321E">
      <w:pPr>
        <w:pStyle w:val="Prrafodelista"/>
        <w:numPr>
          <w:ilvl w:val="0"/>
          <w:numId w:val="3"/>
        </w:numPr>
        <w:spacing w:after="0" w:line="240" w:lineRule="auto"/>
        <w:ind w:left="567" w:hanging="567"/>
        <w:jc w:val="both"/>
        <w:rPr>
          <w:rFonts w:ascii="Verdana" w:hAnsi="Verdana" w:cs="Arial"/>
          <w:sz w:val="20"/>
          <w:szCs w:val="20"/>
        </w:rPr>
      </w:pPr>
      <w:r w:rsidRPr="2A78066E">
        <w:rPr>
          <w:rFonts w:ascii="Verdana" w:hAnsi="Verdana" w:cs="Arial"/>
          <w:sz w:val="20"/>
          <w:szCs w:val="20"/>
        </w:rPr>
        <w:t>Cualquiera de las contrapartes esté obligada a preparar estados financieros consolidados incluyendo a cualquier otra contraparte, de acuerdo con los estándares contables adoptados mediante el Decreto 2420 de 2015.</w:t>
      </w:r>
    </w:p>
    <w:p w14:paraId="1CF6D53E" w14:textId="77777777" w:rsidR="00C2321E" w:rsidRDefault="00C2321E" w:rsidP="006A343D">
      <w:pPr>
        <w:tabs>
          <w:tab w:val="left" w:pos="540"/>
        </w:tabs>
        <w:spacing w:after="0" w:line="240" w:lineRule="auto"/>
        <w:jc w:val="both"/>
        <w:rPr>
          <w:rFonts w:ascii="Verdana" w:hAnsi="Verdana" w:cs="Arial"/>
          <w:bCs/>
          <w:sz w:val="20"/>
          <w:szCs w:val="20"/>
        </w:rPr>
      </w:pPr>
    </w:p>
    <w:p w14:paraId="566C357B" w14:textId="1BC23656" w:rsidR="006A343D" w:rsidRDefault="006A343D" w:rsidP="006A343D">
      <w:pPr>
        <w:tabs>
          <w:tab w:val="left" w:pos="540"/>
        </w:tabs>
        <w:spacing w:after="0" w:line="240" w:lineRule="auto"/>
        <w:jc w:val="both"/>
        <w:rPr>
          <w:rFonts w:ascii="Verdana" w:hAnsi="Verdana" w:cs="Arial"/>
          <w:bCs/>
          <w:sz w:val="20"/>
          <w:szCs w:val="20"/>
        </w:rPr>
      </w:pPr>
      <w:r>
        <w:rPr>
          <w:rFonts w:ascii="Verdana" w:hAnsi="Verdana" w:cs="Arial"/>
          <w:bCs/>
          <w:sz w:val="20"/>
          <w:szCs w:val="20"/>
        </w:rPr>
        <w:t>2.10.2.</w:t>
      </w:r>
      <w:r w:rsidR="00A14207">
        <w:rPr>
          <w:rFonts w:ascii="Verdana" w:hAnsi="Verdana" w:cs="Arial"/>
          <w:bCs/>
          <w:sz w:val="20"/>
          <w:szCs w:val="20"/>
        </w:rPr>
        <w:t>8</w:t>
      </w:r>
      <w:r>
        <w:rPr>
          <w:rFonts w:ascii="Verdana" w:hAnsi="Verdana" w:cs="Arial"/>
          <w:bCs/>
          <w:sz w:val="20"/>
          <w:szCs w:val="20"/>
        </w:rPr>
        <w:t>.</w:t>
      </w:r>
    </w:p>
    <w:p w14:paraId="680A6102" w14:textId="68E75760" w:rsidR="00CF1B34" w:rsidRPr="00897CE6" w:rsidRDefault="00CF1B34" w:rsidP="2A78066E">
      <w:pPr>
        <w:jc w:val="both"/>
        <w:rPr>
          <w:rFonts w:ascii="Verdana" w:hAnsi="Verdana" w:cs="Arial"/>
          <w:sz w:val="20"/>
          <w:szCs w:val="20"/>
        </w:rPr>
      </w:pPr>
      <w:r w:rsidRPr="2A78066E">
        <w:rPr>
          <w:rFonts w:ascii="Verdana" w:hAnsi="Verdana" w:cs="Arial"/>
          <w:sz w:val="20"/>
          <w:szCs w:val="20"/>
        </w:rPr>
        <w:t xml:space="preserve">En todo caso, para la aplicación de estos criterios deberá considerarse lo previsto en los parágrafos 1 y 2 del artículo 2.1.2.1.7 del Decreto 2555 de 2010, incluyendo la evaluación de materialidad para establecer si es necesario realizar el análisis detallado de interdependencia económica. </w:t>
      </w:r>
    </w:p>
    <w:p w14:paraId="62ACC8E0" w14:textId="44E5C417" w:rsidR="00821C3C" w:rsidRDefault="00821C3C" w:rsidP="00821C3C">
      <w:pPr>
        <w:tabs>
          <w:tab w:val="left" w:pos="540"/>
        </w:tabs>
        <w:spacing w:after="0" w:line="240" w:lineRule="auto"/>
        <w:jc w:val="both"/>
        <w:rPr>
          <w:rFonts w:ascii="Verdana" w:hAnsi="Verdana" w:cs="Arial"/>
          <w:bCs/>
          <w:sz w:val="20"/>
          <w:szCs w:val="20"/>
        </w:rPr>
      </w:pPr>
      <w:r>
        <w:rPr>
          <w:rFonts w:ascii="Verdana" w:hAnsi="Verdana" w:cs="Arial"/>
          <w:bCs/>
          <w:sz w:val="20"/>
          <w:szCs w:val="20"/>
        </w:rPr>
        <w:t>2.10.2.</w:t>
      </w:r>
      <w:r w:rsidR="00A14207">
        <w:rPr>
          <w:rFonts w:ascii="Verdana" w:hAnsi="Verdana" w:cs="Arial"/>
          <w:bCs/>
          <w:sz w:val="20"/>
          <w:szCs w:val="20"/>
        </w:rPr>
        <w:t>9</w:t>
      </w:r>
      <w:r>
        <w:rPr>
          <w:rFonts w:ascii="Verdana" w:hAnsi="Verdana" w:cs="Arial"/>
          <w:bCs/>
          <w:sz w:val="20"/>
          <w:szCs w:val="20"/>
        </w:rPr>
        <w:t>.</w:t>
      </w:r>
    </w:p>
    <w:p w14:paraId="20B44546" w14:textId="5299949E" w:rsidR="00CF1B34" w:rsidRPr="00897CE6" w:rsidRDefault="00CF1B34" w:rsidP="2A78066E">
      <w:pPr>
        <w:jc w:val="both"/>
        <w:rPr>
          <w:rFonts w:ascii="Verdana" w:hAnsi="Verdana" w:cs="Arial"/>
          <w:sz w:val="20"/>
          <w:szCs w:val="20"/>
        </w:rPr>
      </w:pPr>
      <w:r w:rsidRPr="2A78066E">
        <w:rPr>
          <w:rFonts w:ascii="Verdana" w:hAnsi="Verdana" w:cs="Arial"/>
          <w:sz w:val="20"/>
          <w:szCs w:val="20"/>
        </w:rPr>
        <w:t>Para efectos de aplicar los criterios previstos en el artículo 2.1.2.1.7 del Decreto 2555 de 2010, las entidades deben documentar de manera previa a la realización de las operaciones el análisis del grupo conectado de contrapartes y mantener dicha información a disposición de esta Superintendencia. Igualmente, en caso de acogerse a cualquiera de las excepciones previstas en los parágrafos 1 y 2 del mismo artículo, la entidad deberá documentar las razones que soportan el cumplimiento de los requisitos para aplicar la respectiva excepción.</w:t>
      </w:r>
    </w:p>
    <w:p w14:paraId="722BFBB3" w14:textId="3BE34916" w:rsidR="00821C3C" w:rsidRDefault="00821C3C" w:rsidP="00821C3C">
      <w:pPr>
        <w:tabs>
          <w:tab w:val="left" w:pos="540"/>
        </w:tabs>
        <w:spacing w:after="0" w:line="240" w:lineRule="auto"/>
        <w:jc w:val="both"/>
        <w:rPr>
          <w:rFonts w:ascii="Verdana" w:hAnsi="Verdana" w:cs="Arial"/>
          <w:bCs/>
          <w:sz w:val="20"/>
          <w:szCs w:val="20"/>
        </w:rPr>
      </w:pPr>
      <w:r>
        <w:rPr>
          <w:rFonts w:ascii="Verdana" w:hAnsi="Verdana" w:cs="Arial"/>
          <w:bCs/>
          <w:sz w:val="20"/>
          <w:szCs w:val="20"/>
        </w:rPr>
        <w:t>2.10.2.</w:t>
      </w:r>
      <w:r w:rsidR="00EE38EC">
        <w:rPr>
          <w:rFonts w:ascii="Verdana" w:hAnsi="Verdana" w:cs="Arial"/>
          <w:bCs/>
          <w:sz w:val="20"/>
          <w:szCs w:val="20"/>
        </w:rPr>
        <w:t>1</w:t>
      </w:r>
      <w:r w:rsidR="00A14207">
        <w:rPr>
          <w:rFonts w:ascii="Verdana" w:hAnsi="Verdana" w:cs="Arial"/>
          <w:bCs/>
          <w:sz w:val="20"/>
          <w:szCs w:val="20"/>
        </w:rPr>
        <w:t>0</w:t>
      </w:r>
      <w:r>
        <w:rPr>
          <w:rFonts w:ascii="Verdana" w:hAnsi="Verdana" w:cs="Arial"/>
          <w:bCs/>
          <w:sz w:val="20"/>
          <w:szCs w:val="20"/>
        </w:rPr>
        <w:t>.</w:t>
      </w:r>
    </w:p>
    <w:p w14:paraId="25AF9681" w14:textId="7784144D" w:rsidR="00CF1B34" w:rsidRPr="00897CE6" w:rsidRDefault="00CF1B34" w:rsidP="2A78066E">
      <w:pPr>
        <w:jc w:val="both"/>
        <w:rPr>
          <w:rFonts w:ascii="Verdana" w:hAnsi="Verdana" w:cs="Arial"/>
          <w:sz w:val="20"/>
          <w:szCs w:val="20"/>
        </w:rPr>
      </w:pPr>
      <w:r w:rsidRPr="2A78066E">
        <w:rPr>
          <w:rFonts w:ascii="Verdana" w:hAnsi="Verdana" w:cs="Arial"/>
          <w:sz w:val="20"/>
          <w:szCs w:val="20"/>
        </w:rPr>
        <w:t xml:space="preserve">Adicionalmente, para establecer la conformación de grupos conectados de contrapartes, deben considerarse todos los eventos descritos en el numeral 4 del artículo 2.1.2.1.7 del Decreto 2555 de 2010, incluyendo los supuestos </w:t>
      </w:r>
      <w:r w:rsidRPr="001E54FA">
        <w:rPr>
          <w:rFonts w:ascii="Verdana" w:hAnsi="Verdana" w:cs="Arial"/>
          <w:sz w:val="20"/>
          <w:szCs w:val="20"/>
        </w:rPr>
        <w:t>de los subnumerales 4.2.1. y 4.2.2.</w:t>
      </w:r>
      <w:r w:rsidRPr="2A78066E">
        <w:rPr>
          <w:rFonts w:ascii="Verdana" w:hAnsi="Verdana" w:cs="Arial"/>
          <w:sz w:val="20"/>
          <w:szCs w:val="20"/>
        </w:rPr>
        <w:t xml:space="preserve"> </w:t>
      </w:r>
      <w:r w:rsidR="001E54FA">
        <w:rPr>
          <w:rFonts w:ascii="Verdana" w:hAnsi="Verdana" w:cs="Arial"/>
          <w:sz w:val="20"/>
          <w:szCs w:val="20"/>
        </w:rPr>
        <w:t>del mencionado artículo</w:t>
      </w:r>
      <w:r w:rsidR="00C07A6B">
        <w:rPr>
          <w:rFonts w:ascii="Verdana" w:hAnsi="Verdana" w:cs="Arial"/>
          <w:sz w:val="20"/>
          <w:szCs w:val="20"/>
        </w:rPr>
        <w:t xml:space="preserve"> del Decreto 2555 de 2010</w:t>
      </w:r>
      <w:r w:rsidR="001E54FA">
        <w:rPr>
          <w:rFonts w:ascii="Verdana" w:hAnsi="Verdana" w:cs="Arial"/>
          <w:sz w:val="20"/>
          <w:szCs w:val="20"/>
        </w:rPr>
        <w:t xml:space="preserve">, </w:t>
      </w:r>
      <w:r w:rsidRPr="2A78066E">
        <w:rPr>
          <w:rFonts w:ascii="Verdana" w:hAnsi="Verdana" w:cs="Arial"/>
          <w:sz w:val="20"/>
          <w:szCs w:val="20"/>
        </w:rPr>
        <w:t xml:space="preserve">para agregar las exposiciones frente a patrimonios autónomos, universalidades y vehículos de inversión con exposiciones de otras contrapartes. </w:t>
      </w:r>
    </w:p>
    <w:p w14:paraId="56F98B38" w14:textId="694D2249" w:rsidR="00821C3C" w:rsidRDefault="00821C3C" w:rsidP="00821C3C">
      <w:pPr>
        <w:tabs>
          <w:tab w:val="left" w:pos="540"/>
        </w:tabs>
        <w:spacing w:after="0" w:line="240" w:lineRule="auto"/>
        <w:jc w:val="both"/>
        <w:rPr>
          <w:rFonts w:ascii="Verdana" w:hAnsi="Verdana" w:cs="Arial"/>
          <w:bCs/>
          <w:sz w:val="20"/>
          <w:szCs w:val="20"/>
        </w:rPr>
      </w:pPr>
      <w:r>
        <w:rPr>
          <w:rFonts w:ascii="Verdana" w:hAnsi="Verdana" w:cs="Arial"/>
          <w:bCs/>
          <w:sz w:val="20"/>
          <w:szCs w:val="20"/>
        </w:rPr>
        <w:t>2.10.2.</w:t>
      </w:r>
      <w:r w:rsidR="00EE38EC">
        <w:rPr>
          <w:rFonts w:ascii="Verdana" w:hAnsi="Verdana" w:cs="Arial"/>
          <w:bCs/>
          <w:sz w:val="20"/>
          <w:szCs w:val="20"/>
        </w:rPr>
        <w:t>1</w:t>
      </w:r>
      <w:r w:rsidR="00A14207">
        <w:rPr>
          <w:rFonts w:ascii="Verdana" w:hAnsi="Verdana" w:cs="Arial"/>
          <w:bCs/>
          <w:sz w:val="20"/>
          <w:szCs w:val="20"/>
        </w:rPr>
        <w:t>1</w:t>
      </w:r>
      <w:r>
        <w:rPr>
          <w:rFonts w:ascii="Verdana" w:hAnsi="Verdana" w:cs="Arial"/>
          <w:bCs/>
          <w:sz w:val="20"/>
          <w:szCs w:val="20"/>
        </w:rPr>
        <w:t>.</w:t>
      </w:r>
    </w:p>
    <w:p w14:paraId="5B92B1BD" w14:textId="4E94315D" w:rsidR="00CF1B34" w:rsidRPr="00897CE6" w:rsidRDefault="00CF1B34" w:rsidP="2A78066E">
      <w:pPr>
        <w:jc w:val="both"/>
        <w:rPr>
          <w:rFonts w:ascii="Verdana" w:hAnsi="Verdana" w:cs="Arial"/>
          <w:sz w:val="20"/>
          <w:szCs w:val="20"/>
        </w:rPr>
      </w:pPr>
      <w:r w:rsidRPr="2A78066E">
        <w:rPr>
          <w:rFonts w:ascii="Verdana" w:hAnsi="Verdana" w:cs="Arial"/>
          <w:sz w:val="20"/>
          <w:szCs w:val="20"/>
        </w:rPr>
        <w:t>Dentro de los grupos conectados de contrapartes deben agregarse las contrapartes que cumplen directamente cualquiera de los criterios previstos en el artículo 2.1.2.1.7 del Decreto 2555 de 2010 y</w:t>
      </w:r>
      <w:r w:rsidR="00C5221F">
        <w:rPr>
          <w:rFonts w:ascii="Verdana" w:hAnsi="Verdana" w:cs="Arial"/>
          <w:sz w:val="20"/>
          <w:szCs w:val="20"/>
        </w:rPr>
        <w:t xml:space="preserve"> </w:t>
      </w:r>
      <w:r w:rsidR="00857B61">
        <w:rPr>
          <w:rFonts w:ascii="Verdana" w:hAnsi="Verdana" w:cs="Arial"/>
          <w:sz w:val="20"/>
          <w:szCs w:val="20"/>
        </w:rPr>
        <w:t>entre los párrafos 2.10.2.</w:t>
      </w:r>
      <w:r w:rsidR="00AE0E70">
        <w:rPr>
          <w:rFonts w:ascii="Verdana" w:hAnsi="Verdana" w:cs="Arial"/>
          <w:sz w:val="20"/>
          <w:szCs w:val="20"/>
        </w:rPr>
        <w:t>6</w:t>
      </w:r>
      <w:r w:rsidR="00857B61">
        <w:rPr>
          <w:rFonts w:ascii="Verdana" w:hAnsi="Verdana" w:cs="Arial"/>
          <w:sz w:val="20"/>
          <w:szCs w:val="20"/>
        </w:rPr>
        <w:t>. y 2.10.2.2</w:t>
      </w:r>
      <w:r w:rsidR="00AE0E70">
        <w:rPr>
          <w:rFonts w:ascii="Verdana" w:hAnsi="Verdana" w:cs="Arial"/>
          <w:sz w:val="20"/>
          <w:szCs w:val="20"/>
        </w:rPr>
        <w:t>8</w:t>
      </w:r>
      <w:r w:rsidR="00857B61">
        <w:rPr>
          <w:rFonts w:ascii="Verdana" w:hAnsi="Verdana" w:cs="Arial"/>
          <w:sz w:val="20"/>
          <w:szCs w:val="20"/>
        </w:rPr>
        <w:t>.</w:t>
      </w:r>
      <w:r w:rsidRPr="2A78066E">
        <w:rPr>
          <w:rFonts w:ascii="Verdana" w:hAnsi="Verdana" w:cs="Arial"/>
          <w:sz w:val="20"/>
          <w:szCs w:val="20"/>
        </w:rPr>
        <w:t xml:space="preserve">, así como las contrapartes que cumplan cualquiera de dichos criterios a través de cualquier otro miembro del grupo conectado de contrapartes. </w:t>
      </w:r>
    </w:p>
    <w:p w14:paraId="4491888A" w14:textId="7FDFF6ED" w:rsidR="00821C3C" w:rsidRDefault="00821C3C" w:rsidP="00821C3C">
      <w:pPr>
        <w:tabs>
          <w:tab w:val="left" w:pos="540"/>
        </w:tabs>
        <w:spacing w:after="0" w:line="240" w:lineRule="auto"/>
        <w:jc w:val="both"/>
        <w:rPr>
          <w:rFonts w:ascii="Verdana" w:hAnsi="Verdana" w:cs="Arial"/>
          <w:bCs/>
          <w:sz w:val="20"/>
          <w:szCs w:val="20"/>
        </w:rPr>
      </w:pPr>
      <w:r>
        <w:rPr>
          <w:rFonts w:ascii="Verdana" w:hAnsi="Verdana" w:cs="Arial"/>
          <w:bCs/>
          <w:sz w:val="20"/>
          <w:szCs w:val="20"/>
        </w:rPr>
        <w:t>2.10.2.1</w:t>
      </w:r>
      <w:r w:rsidR="00A14207">
        <w:rPr>
          <w:rFonts w:ascii="Verdana" w:hAnsi="Verdana" w:cs="Arial"/>
          <w:bCs/>
          <w:sz w:val="20"/>
          <w:szCs w:val="20"/>
        </w:rPr>
        <w:t>2</w:t>
      </w:r>
      <w:r>
        <w:rPr>
          <w:rFonts w:ascii="Verdana" w:hAnsi="Verdana" w:cs="Arial"/>
          <w:bCs/>
          <w:sz w:val="20"/>
          <w:szCs w:val="20"/>
        </w:rPr>
        <w:t>.</w:t>
      </w:r>
    </w:p>
    <w:p w14:paraId="59FAD834" w14:textId="329064D1" w:rsidR="00CF1B34" w:rsidRPr="00897CE6" w:rsidRDefault="00CF1B34" w:rsidP="2A78066E">
      <w:pPr>
        <w:jc w:val="both"/>
        <w:rPr>
          <w:rFonts w:ascii="Verdana" w:hAnsi="Verdana" w:cs="Arial"/>
          <w:sz w:val="20"/>
          <w:szCs w:val="20"/>
        </w:rPr>
      </w:pPr>
      <w:r w:rsidRPr="2A78066E">
        <w:rPr>
          <w:rFonts w:ascii="Verdana" w:hAnsi="Verdana" w:cs="Arial"/>
          <w:sz w:val="20"/>
          <w:szCs w:val="20"/>
        </w:rPr>
        <w:t xml:space="preserve">Una misma contraparte puede computarse dentro de más de un grupo conectado de contrapartes, si cumple con cualquiera de las condiciones previstas </w:t>
      </w:r>
      <w:r w:rsidR="00421E96">
        <w:rPr>
          <w:rFonts w:ascii="Verdana" w:hAnsi="Verdana" w:cs="Arial"/>
          <w:sz w:val="20"/>
          <w:szCs w:val="20"/>
        </w:rPr>
        <w:t>entre los párrafos 2.10.2.</w:t>
      </w:r>
      <w:r w:rsidR="00EF502C">
        <w:rPr>
          <w:rFonts w:ascii="Verdana" w:hAnsi="Verdana" w:cs="Arial"/>
          <w:sz w:val="20"/>
          <w:szCs w:val="20"/>
        </w:rPr>
        <w:t>6</w:t>
      </w:r>
      <w:r w:rsidR="00421E96">
        <w:rPr>
          <w:rFonts w:ascii="Verdana" w:hAnsi="Verdana" w:cs="Arial"/>
          <w:sz w:val="20"/>
          <w:szCs w:val="20"/>
        </w:rPr>
        <w:t>. y 2.10.2.2</w:t>
      </w:r>
      <w:r w:rsidR="00EF502C">
        <w:rPr>
          <w:rFonts w:ascii="Verdana" w:hAnsi="Verdana" w:cs="Arial"/>
          <w:sz w:val="20"/>
          <w:szCs w:val="20"/>
        </w:rPr>
        <w:t>8</w:t>
      </w:r>
      <w:r w:rsidR="00421E96">
        <w:rPr>
          <w:rFonts w:ascii="Verdana" w:hAnsi="Verdana" w:cs="Arial"/>
          <w:sz w:val="20"/>
          <w:szCs w:val="20"/>
        </w:rPr>
        <w:t xml:space="preserve">. </w:t>
      </w:r>
      <w:r w:rsidRPr="2A78066E">
        <w:rPr>
          <w:rFonts w:ascii="Verdana" w:hAnsi="Verdana" w:cs="Arial"/>
          <w:sz w:val="20"/>
          <w:szCs w:val="20"/>
        </w:rPr>
        <w:t xml:space="preserve">respecto de más de un grupo conectado de contrapartes. En este caso, las exposiciones de dicha contraparte </w:t>
      </w:r>
      <w:r w:rsidR="00783FDA">
        <w:rPr>
          <w:rFonts w:ascii="Verdana" w:hAnsi="Verdana" w:cs="Arial"/>
          <w:sz w:val="20"/>
          <w:szCs w:val="20"/>
        </w:rPr>
        <w:t xml:space="preserve">se </w:t>
      </w:r>
      <w:r w:rsidRPr="2A78066E">
        <w:rPr>
          <w:rFonts w:ascii="Verdana" w:hAnsi="Verdana" w:cs="Arial"/>
          <w:sz w:val="20"/>
          <w:szCs w:val="20"/>
        </w:rPr>
        <w:t>deben computar en el control al límite de las exposiciones de todos los grupos conectados de contrapartes a los que pertenece, pero estas exposiciones deben contabilizarse una sola vez para efectos del control del límite conjunto de que trata el artículo 2.1.2.1.12 del Decreto 2555 de 2010.</w:t>
      </w:r>
    </w:p>
    <w:p w14:paraId="22D8E0CB" w14:textId="352D912C" w:rsidR="00821C3C" w:rsidRDefault="00821C3C" w:rsidP="00821C3C">
      <w:pPr>
        <w:tabs>
          <w:tab w:val="left" w:pos="540"/>
        </w:tabs>
        <w:spacing w:after="0" w:line="240" w:lineRule="auto"/>
        <w:jc w:val="both"/>
        <w:rPr>
          <w:rFonts w:ascii="Verdana" w:hAnsi="Verdana" w:cs="Arial"/>
          <w:bCs/>
          <w:sz w:val="20"/>
          <w:szCs w:val="20"/>
        </w:rPr>
      </w:pPr>
      <w:r>
        <w:rPr>
          <w:rFonts w:ascii="Verdana" w:hAnsi="Verdana" w:cs="Arial"/>
          <w:bCs/>
          <w:sz w:val="20"/>
          <w:szCs w:val="20"/>
        </w:rPr>
        <w:t>2.10.2.1</w:t>
      </w:r>
      <w:r w:rsidR="00A14207">
        <w:rPr>
          <w:rFonts w:ascii="Verdana" w:hAnsi="Verdana" w:cs="Arial"/>
          <w:bCs/>
          <w:sz w:val="20"/>
          <w:szCs w:val="20"/>
        </w:rPr>
        <w:t>3</w:t>
      </w:r>
      <w:r>
        <w:rPr>
          <w:rFonts w:ascii="Verdana" w:hAnsi="Verdana" w:cs="Arial"/>
          <w:bCs/>
          <w:sz w:val="20"/>
          <w:szCs w:val="20"/>
        </w:rPr>
        <w:t>.</w:t>
      </w:r>
    </w:p>
    <w:p w14:paraId="00FEC886" w14:textId="77777777" w:rsidR="00CF1B34" w:rsidRPr="00897CE6" w:rsidRDefault="00CF1B34" w:rsidP="2A78066E">
      <w:pPr>
        <w:jc w:val="both"/>
        <w:rPr>
          <w:rFonts w:ascii="Verdana" w:hAnsi="Verdana" w:cs="Arial"/>
          <w:sz w:val="20"/>
          <w:szCs w:val="20"/>
        </w:rPr>
      </w:pPr>
      <w:r w:rsidRPr="2A78066E">
        <w:rPr>
          <w:rFonts w:ascii="Verdana" w:hAnsi="Verdana" w:cs="Arial"/>
          <w:sz w:val="20"/>
          <w:szCs w:val="20"/>
        </w:rPr>
        <w:t xml:space="preserve">Adicionalmente, en caso de presentarse más de un criterio para la conformación de un grupo conectado de contrapartes, se deben analizar todos los criterios aplicables, lo cual debe ser debidamente documentado por la entidad. </w:t>
      </w:r>
    </w:p>
    <w:p w14:paraId="0B607DDD" w14:textId="77777777" w:rsidR="005B67C2" w:rsidRDefault="005B67C2" w:rsidP="00821C3C">
      <w:pPr>
        <w:tabs>
          <w:tab w:val="left" w:pos="540"/>
        </w:tabs>
        <w:spacing w:after="0" w:line="240" w:lineRule="auto"/>
        <w:jc w:val="both"/>
        <w:rPr>
          <w:rFonts w:ascii="Verdana" w:hAnsi="Verdana" w:cs="Arial"/>
          <w:bCs/>
          <w:sz w:val="20"/>
          <w:szCs w:val="20"/>
        </w:rPr>
      </w:pPr>
    </w:p>
    <w:p w14:paraId="389D7CF5" w14:textId="77777777" w:rsidR="005B67C2" w:rsidRDefault="005B67C2" w:rsidP="00821C3C">
      <w:pPr>
        <w:tabs>
          <w:tab w:val="left" w:pos="540"/>
        </w:tabs>
        <w:spacing w:after="0" w:line="240" w:lineRule="auto"/>
        <w:jc w:val="both"/>
        <w:rPr>
          <w:rFonts w:ascii="Verdana" w:hAnsi="Verdana" w:cs="Arial"/>
          <w:bCs/>
          <w:sz w:val="20"/>
          <w:szCs w:val="20"/>
        </w:rPr>
      </w:pPr>
    </w:p>
    <w:p w14:paraId="58F711ED" w14:textId="12792AE3" w:rsidR="00821C3C" w:rsidRDefault="00821C3C" w:rsidP="00821C3C">
      <w:pPr>
        <w:tabs>
          <w:tab w:val="left" w:pos="540"/>
        </w:tabs>
        <w:spacing w:after="0" w:line="240" w:lineRule="auto"/>
        <w:jc w:val="both"/>
        <w:rPr>
          <w:rFonts w:ascii="Verdana" w:hAnsi="Verdana" w:cs="Arial"/>
          <w:bCs/>
          <w:sz w:val="20"/>
          <w:szCs w:val="20"/>
        </w:rPr>
      </w:pPr>
      <w:r>
        <w:rPr>
          <w:rFonts w:ascii="Verdana" w:hAnsi="Verdana" w:cs="Arial"/>
          <w:bCs/>
          <w:sz w:val="20"/>
          <w:szCs w:val="20"/>
        </w:rPr>
        <w:lastRenderedPageBreak/>
        <w:t>2.10.2.1</w:t>
      </w:r>
      <w:r w:rsidR="00A14207">
        <w:rPr>
          <w:rFonts w:ascii="Verdana" w:hAnsi="Verdana" w:cs="Arial"/>
          <w:bCs/>
          <w:sz w:val="20"/>
          <w:szCs w:val="20"/>
        </w:rPr>
        <w:t>4</w:t>
      </w:r>
      <w:r>
        <w:rPr>
          <w:rFonts w:ascii="Verdana" w:hAnsi="Verdana" w:cs="Arial"/>
          <w:bCs/>
          <w:sz w:val="20"/>
          <w:szCs w:val="20"/>
        </w:rPr>
        <w:t>.</w:t>
      </w:r>
    </w:p>
    <w:p w14:paraId="6DC5FB8C" w14:textId="69B2727C" w:rsidR="00CF1B34" w:rsidRPr="00897CE6" w:rsidRDefault="00CF1B34" w:rsidP="00CF1B34">
      <w:pPr>
        <w:jc w:val="both"/>
        <w:rPr>
          <w:rFonts w:ascii="Verdana" w:hAnsi="Verdana" w:cs="Arial"/>
          <w:color w:val="000000" w:themeColor="text1"/>
          <w:sz w:val="20"/>
          <w:szCs w:val="20"/>
        </w:rPr>
      </w:pPr>
      <w:r w:rsidRPr="00897CE6">
        <w:rPr>
          <w:rFonts w:ascii="Verdana" w:hAnsi="Verdana" w:cs="Arial"/>
          <w:sz w:val="20"/>
          <w:szCs w:val="20"/>
        </w:rPr>
        <w:t xml:space="preserve">Para fines de reportería y seguimiento, de acuerdo con lo señalado en la </w:t>
      </w:r>
      <w:r w:rsidRPr="00897CE6">
        <w:rPr>
          <w:rStyle w:val="eop"/>
          <w:rFonts w:ascii="Verdana" w:hAnsi="Verdana" w:cs="Arial"/>
          <w:color w:val="000000"/>
          <w:sz w:val="20"/>
          <w:szCs w:val="20"/>
          <w:shd w:val="clear" w:color="auto" w:fill="FFFFFF"/>
        </w:rPr>
        <w:t xml:space="preserve">proforma </w:t>
      </w:r>
      <w:r w:rsidR="008708A3">
        <w:rPr>
          <w:rStyle w:val="eop"/>
          <w:rFonts w:ascii="Verdana" w:hAnsi="Verdana" w:cs="Arial"/>
          <w:color w:val="000000"/>
          <w:sz w:val="20"/>
          <w:szCs w:val="20"/>
          <w:shd w:val="clear" w:color="auto" w:fill="FFFFFF"/>
        </w:rPr>
        <w:t>definida por la SFC,</w:t>
      </w:r>
      <w:r w:rsidRPr="00897CE6">
        <w:rPr>
          <w:rFonts w:ascii="Verdana" w:hAnsi="Verdana" w:cs="Arial"/>
          <w:sz w:val="20"/>
          <w:szCs w:val="20"/>
        </w:rPr>
        <w:t xml:space="preserve"> la entidad debe asignar un código de identificación interno a cada grupo conectado de contrapartes, conforme a lo definido en el respectivo instructivo. Igualmente, a cada grupo conectado de contrapartes debe asignarse un nombre o denominación interna, la cual debe informarse a esta Superintendencia a través de la </w:t>
      </w:r>
      <w:r w:rsidRPr="00897CE6">
        <w:rPr>
          <w:rStyle w:val="eop"/>
          <w:rFonts w:ascii="Verdana" w:hAnsi="Verdana" w:cs="Arial"/>
          <w:color w:val="000000" w:themeColor="text1"/>
          <w:sz w:val="20"/>
          <w:szCs w:val="20"/>
        </w:rPr>
        <w:t xml:space="preserve">proforma </w:t>
      </w:r>
      <w:r w:rsidR="002F284E">
        <w:rPr>
          <w:rStyle w:val="eop"/>
          <w:rFonts w:ascii="Verdana" w:hAnsi="Verdana" w:cs="Arial"/>
          <w:color w:val="000000" w:themeColor="text1"/>
          <w:sz w:val="20"/>
          <w:szCs w:val="20"/>
        </w:rPr>
        <w:t>definida por la SFC</w:t>
      </w:r>
    </w:p>
    <w:p w14:paraId="1E14C00C" w14:textId="47EEFFF0" w:rsidR="00CF1B34" w:rsidRPr="004046FE" w:rsidRDefault="00CF1B34" w:rsidP="00F06BB7">
      <w:pPr>
        <w:spacing w:after="0" w:line="240" w:lineRule="auto"/>
        <w:ind w:left="567" w:hanging="567"/>
        <w:jc w:val="both"/>
        <w:rPr>
          <w:rFonts w:ascii="Verdana" w:hAnsi="Verdana" w:cs="Arial"/>
          <w:b/>
          <w:sz w:val="20"/>
          <w:szCs w:val="20"/>
        </w:rPr>
      </w:pPr>
      <w:bookmarkStart w:id="0" w:name="_Hlk146123157"/>
      <w:r w:rsidRPr="004046FE">
        <w:rPr>
          <w:rFonts w:ascii="Verdana" w:hAnsi="Verdana" w:cs="Arial"/>
          <w:b/>
          <w:sz w:val="20"/>
          <w:szCs w:val="20"/>
        </w:rPr>
        <w:t>Control acumulado de exposiciones con un grupo conectado de contrapartes</w:t>
      </w:r>
    </w:p>
    <w:bookmarkEnd w:id="0"/>
    <w:p w14:paraId="1CC80CF7" w14:textId="77777777" w:rsidR="00C2321E" w:rsidRDefault="00C2321E" w:rsidP="00F06BB7">
      <w:pPr>
        <w:tabs>
          <w:tab w:val="left" w:pos="540"/>
        </w:tabs>
        <w:spacing w:after="0" w:line="240" w:lineRule="auto"/>
        <w:jc w:val="both"/>
        <w:rPr>
          <w:rFonts w:ascii="Verdana" w:hAnsi="Verdana" w:cs="Arial"/>
          <w:bCs/>
          <w:sz w:val="20"/>
          <w:szCs w:val="20"/>
        </w:rPr>
      </w:pPr>
    </w:p>
    <w:p w14:paraId="4D591ED2" w14:textId="1C75BDBB" w:rsidR="00F06BB7" w:rsidRDefault="00F06BB7" w:rsidP="00F06BB7">
      <w:pPr>
        <w:tabs>
          <w:tab w:val="left" w:pos="540"/>
        </w:tabs>
        <w:spacing w:after="0" w:line="240" w:lineRule="auto"/>
        <w:jc w:val="both"/>
        <w:rPr>
          <w:rFonts w:ascii="Verdana" w:hAnsi="Verdana" w:cs="Arial"/>
          <w:bCs/>
          <w:sz w:val="20"/>
          <w:szCs w:val="20"/>
        </w:rPr>
      </w:pPr>
      <w:r>
        <w:rPr>
          <w:rFonts w:ascii="Verdana" w:hAnsi="Verdana" w:cs="Arial"/>
          <w:bCs/>
          <w:sz w:val="20"/>
          <w:szCs w:val="20"/>
        </w:rPr>
        <w:t>2.10.2.1</w:t>
      </w:r>
      <w:r w:rsidR="00A14207">
        <w:rPr>
          <w:rFonts w:ascii="Verdana" w:hAnsi="Verdana" w:cs="Arial"/>
          <w:bCs/>
          <w:sz w:val="20"/>
          <w:szCs w:val="20"/>
        </w:rPr>
        <w:t>5</w:t>
      </w:r>
      <w:r>
        <w:rPr>
          <w:rFonts w:ascii="Verdana" w:hAnsi="Verdana" w:cs="Arial"/>
          <w:bCs/>
          <w:sz w:val="20"/>
          <w:szCs w:val="20"/>
        </w:rPr>
        <w:t>.</w:t>
      </w:r>
    </w:p>
    <w:p w14:paraId="47CE5579" w14:textId="77777777" w:rsidR="00CF1B34" w:rsidRPr="00F06BB7" w:rsidRDefault="00CF1B34" w:rsidP="00F06BB7">
      <w:pPr>
        <w:jc w:val="both"/>
        <w:rPr>
          <w:rFonts w:ascii="Verdana" w:hAnsi="Verdana" w:cs="Arial"/>
          <w:bCs/>
          <w:sz w:val="20"/>
          <w:szCs w:val="20"/>
        </w:rPr>
      </w:pPr>
      <w:r w:rsidRPr="00F06BB7">
        <w:rPr>
          <w:rFonts w:ascii="Verdana" w:hAnsi="Verdana" w:cs="Arial"/>
          <w:bCs/>
          <w:sz w:val="20"/>
          <w:szCs w:val="20"/>
        </w:rPr>
        <w:t>Para todos los efectos, los grupos conectados de contrapartes conforman una fuente de riesgo común que debe tratarse como una única contraparte y, por lo tanto, el valor agregado de todas sus exposiciones, directas e indirectas, debe cumplir con las normas e instrucciones relacionadas con la identificación, control y límites a las grandes exposiciones.</w:t>
      </w:r>
    </w:p>
    <w:p w14:paraId="6F0040E4" w14:textId="06F06AA0" w:rsidR="00F06BB7" w:rsidRDefault="00F06BB7" w:rsidP="00F06BB7">
      <w:pPr>
        <w:tabs>
          <w:tab w:val="left" w:pos="540"/>
        </w:tabs>
        <w:spacing w:after="0" w:line="240" w:lineRule="auto"/>
        <w:jc w:val="both"/>
        <w:rPr>
          <w:rFonts w:ascii="Verdana" w:hAnsi="Verdana" w:cs="Arial"/>
          <w:bCs/>
          <w:sz w:val="20"/>
          <w:szCs w:val="20"/>
        </w:rPr>
      </w:pPr>
      <w:r>
        <w:rPr>
          <w:rFonts w:ascii="Verdana" w:hAnsi="Verdana" w:cs="Arial"/>
          <w:bCs/>
          <w:sz w:val="20"/>
          <w:szCs w:val="20"/>
        </w:rPr>
        <w:t>2.10.2.1</w:t>
      </w:r>
      <w:r w:rsidR="00A14207">
        <w:rPr>
          <w:rFonts w:ascii="Verdana" w:hAnsi="Verdana" w:cs="Arial"/>
          <w:bCs/>
          <w:sz w:val="20"/>
          <w:szCs w:val="20"/>
        </w:rPr>
        <w:t>6</w:t>
      </w:r>
      <w:r>
        <w:rPr>
          <w:rFonts w:ascii="Verdana" w:hAnsi="Verdana" w:cs="Arial"/>
          <w:bCs/>
          <w:sz w:val="20"/>
          <w:szCs w:val="20"/>
        </w:rPr>
        <w:t>.</w:t>
      </w:r>
    </w:p>
    <w:p w14:paraId="77B6D3E5" w14:textId="351273C1" w:rsidR="00423153" w:rsidRPr="00F06BB7" w:rsidRDefault="00CF1B34" w:rsidP="2A78066E">
      <w:pPr>
        <w:jc w:val="both"/>
        <w:rPr>
          <w:rFonts w:ascii="Verdana" w:hAnsi="Verdana" w:cs="Arial"/>
          <w:sz w:val="20"/>
          <w:szCs w:val="20"/>
        </w:rPr>
      </w:pPr>
      <w:r w:rsidRPr="2A78066E">
        <w:rPr>
          <w:rFonts w:ascii="Verdana" w:hAnsi="Verdana" w:cs="Arial"/>
          <w:sz w:val="20"/>
          <w:szCs w:val="20"/>
        </w:rPr>
        <w:t xml:space="preserve">Este control acumulado de exposiciones debe realizarse tanto a nivel individual como consolidado. En este último caso, se deben considerar todas las exposiciones que tienen las entidades del grupo consolidado y se deben controlar estas exposiciones en los términos y con los límites previstos en el presente capítulo para la entidad consolidante. Para estos efectos, la entidad que consolida debe tener en cuenta todas las exposiciones </w:t>
      </w:r>
      <w:r w:rsidRPr="007B6199">
        <w:rPr>
          <w:rFonts w:ascii="Verdana" w:hAnsi="Verdana" w:cs="Arial"/>
          <w:sz w:val="20"/>
          <w:szCs w:val="20"/>
        </w:rPr>
        <w:t xml:space="preserve">que deben reportar individualmente sus entidades consolidadas, en los términos de la sección </w:t>
      </w:r>
      <w:r w:rsidR="007B6199" w:rsidRPr="007B6199">
        <w:rPr>
          <w:rFonts w:ascii="Verdana" w:hAnsi="Verdana" w:cs="Arial"/>
          <w:sz w:val="20"/>
          <w:szCs w:val="20"/>
        </w:rPr>
        <w:t xml:space="preserve">3 </w:t>
      </w:r>
      <w:r w:rsidRPr="007B6199">
        <w:rPr>
          <w:rFonts w:ascii="Verdana" w:hAnsi="Verdana" w:cs="Arial"/>
          <w:sz w:val="20"/>
          <w:szCs w:val="20"/>
        </w:rPr>
        <w:t>del presente capítulo</w:t>
      </w:r>
      <w:r w:rsidRPr="2A78066E">
        <w:rPr>
          <w:rFonts w:ascii="Verdana" w:hAnsi="Verdana" w:cs="Arial"/>
          <w:sz w:val="20"/>
          <w:szCs w:val="20"/>
        </w:rPr>
        <w:t xml:space="preserve"> para el caso de las entidades obligadas a implementar cupos individuales de crédito, o de la sección </w:t>
      </w:r>
      <w:r w:rsidR="007B6199">
        <w:rPr>
          <w:rFonts w:ascii="Verdana" w:hAnsi="Verdana" w:cs="Arial"/>
          <w:sz w:val="20"/>
          <w:szCs w:val="20"/>
        </w:rPr>
        <w:t>2</w:t>
      </w:r>
      <w:r w:rsidRPr="2A78066E">
        <w:rPr>
          <w:rFonts w:ascii="Verdana" w:hAnsi="Verdana" w:cs="Arial"/>
          <w:sz w:val="20"/>
          <w:szCs w:val="20"/>
        </w:rPr>
        <w:t xml:space="preserve"> para el caso de los establecimientos de crédito.</w:t>
      </w:r>
    </w:p>
    <w:p w14:paraId="77C66C87" w14:textId="6CA9128C" w:rsidR="00F06BB7" w:rsidRDefault="00F06BB7" w:rsidP="00F06BB7">
      <w:pPr>
        <w:tabs>
          <w:tab w:val="left" w:pos="540"/>
        </w:tabs>
        <w:spacing w:after="0" w:line="240" w:lineRule="auto"/>
        <w:jc w:val="both"/>
        <w:rPr>
          <w:rFonts w:ascii="Verdana" w:hAnsi="Verdana" w:cs="Arial"/>
          <w:bCs/>
          <w:sz w:val="20"/>
          <w:szCs w:val="20"/>
        </w:rPr>
      </w:pPr>
      <w:r>
        <w:rPr>
          <w:rFonts w:ascii="Verdana" w:hAnsi="Verdana" w:cs="Arial"/>
          <w:bCs/>
          <w:sz w:val="20"/>
          <w:szCs w:val="20"/>
        </w:rPr>
        <w:t>2.10.2.1</w:t>
      </w:r>
      <w:r w:rsidR="00A14207">
        <w:rPr>
          <w:rFonts w:ascii="Verdana" w:hAnsi="Verdana" w:cs="Arial"/>
          <w:bCs/>
          <w:sz w:val="20"/>
          <w:szCs w:val="20"/>
        </w:rPr>
        <w:t>7</w:t>
      </w:r>
      <w:r>
        <w:rPr>
          <w:rFonts w:ascii="Verdana" w:hAnsi="Verdana" w:cs="Arial"/>
          <w:bCs/>
          <w:sz w:val="20"/>
          <w:szCs w:val="20"/>
        </w:rPr>
        <w:t>.</w:t>
      </w:r>
    </w:p>
    <w:p w14:paraId="617872DD" w14:textId="594B0F7D" w:rsidR="00CF1B34" w:rsidRPr="00F06BB7" w:rsidRDefault="00CF1B34" w:rsidP="2A78066E">
      <w:pPr>
        <w:jc w:val="both"/>
        <w:rPr>
          <w:rFonts w:ascii="Verdana" w:hAnsi="Verdana" w:cs="Arial"/>
          <w:sz w:val="20"/>
          <w:szCs w:val="20"/>
        </w:rPr>
      </w:pPr>
      <w:r w:rsidRPr="2A78066E">
        <w:rPr>
          <w:rFonts w:ascii="Verdana" w:hAnsi="Verdana" w:cs="Arial"/>
          <w:sz w:val="20"/>
          <w:szCs w:val="20"/>
        </w:rPr>
        <w:t>De acuerdo con lo dispuesto en el parágrafo del artículo 2.1.2.1.3 del Decreto 2555 de 2010, cuando el valor de una exposición sea mitigado por concepto de una garantía idónea para efectos del control y límite a las grandes exposiciones, el valor de la correspondiente garantía computará como una exposición respecto de quien actúa como garante. Como tal, las exposiciones de los garantes serán objeto del control al límite de las grandes exposiciones junto con las demás exposiciones de la misma contraparte, así como de forma conjunta cuando el garante haga parte de un grupo conectado de contrapartes.</w:t>
      </w:r>
    </w:p>
    <w:p w14:paraId="52A8D0C2" w14:textId="7FB5A80E" w:rsidR="00CF1B34" w:rsidRPr="00D0066B" w:rsidRDefault="00CF1B34" w:rsidP="00C2321E">
      <w:pPr>
        <w:pStyle w:val="Prrafodelista"/>
        <w:numPr>
          <w:ilvl w:val="0"/>
          <w:numId w:val="9"/>
        </w:numPr>
        <w:tabs>
          <w:tab w:val="left" w:pos="284"/>
        </w:tabs>
        <w:spacing w:after="0" w:line="240" w:lineRule="auto"/>
        <w:ind w:left="284" w:hanging="284"/>
        <w:jc w:val="both"/>
        <w:rPr>
          <w:rFonts w:ascii="Verdana" w:hAnsi="Verdana" w:cs="Arial"/>
          <w:b/>
          <w:sz w:val="20"/>
          <w:szCs w:val="20"/>
        </w:rPr>
      </w:pPr>
      <w:r w:rsidRPr="00D0066B">
        <w:rPr>
          <w:rFonts w:ascii="Verdana" w:hAnsi="Verdana" w:cs="Arial"/>
          <w:b/>
          <w:sz w:val="20"/>
          <w:szCs w:val="20"/>
        </w:rPr>
        <w:t>Financiación especializada de proyectos</w:t>
      </w:r>
    </w:p>
    <w:p w14:paraId="48C900B3" w14:textId="77777777" w:rsidR="00E32CD7" w:rsidRPr="00D0066B" w:rsidRDefault="00E32CD7" w:rsidP="00E32CD7">
      <w:pPr>
        <w:tabs>
          <w:tab w:val="left" w:pos="540"/>
        </w:tabs>
        <w:spacing w:after="0" w:line="240" w:lineRule="auto"/>
        <w:jc w:val="both"/>
        <w:rPr>
          <w:rFonts w:ascii="Verdana" w:hAnsi="Verdana" w:cs="Arial"/>
          <w:bCs/>
          <w:sz w:val="20"/>
          <w:szCs w:val="20"/>
        </w:rPr>
      </w:pPr>
    </w:p>
    <w:p w14:paraId="252B3193" w14:textId="10F28D0D" w:rsidR="00F06BB7" w:rsidRPr="00D0066B" w:rsidRDefault="00F06BB7" w:rsidP="00E32CD7">
      <w:pPr>
        <w:tabs>
          <w:tab w:val="left" w:pos="540"/>
        </w:tabs>
        <w:spacing w:after="0" w:line="240" w:lineRule="auto"/>
        <w:jc w:val="both"/>
        <w:rPr>
          <w:rFonts w:ascii="Verdana" w:hAnsi="Verdana" w:cs="Arial"/>
          <w:bCs/>
          <w:sz w:val="20"/>
          <w:szCs w:val="20"/>
        </w:rPr>
      </w:pPr>
      <w:r w:rsidRPr="00D0066B">
        <w:rPr>
          <w:rFonts w:ascii="Verdana" w:hAnsi="Verdana" w:cs="Arial"/>
          <w:bCs/>
          <w:sz w:val="20"/>
          <w:szCs w:val="20"/>
        </w:rPr>
        <w:t>2.10.2.1</w:t>
      </w:r>
      <w:r w:rsidR="00A14207">
        <w:rPr>
          <w:rFonts w:ascii="Verdana" w:hAnsi="Verdana" w:cs="Arial"/>
          <w:bCs/>
          <w:sz w:val="20"/>
          <w:szCs w:val="20"/>
        </w:rPr>
        <w:t>8</w:t>
      </w:r>
      <w:r w:rsidRPr="00D0066B">
        <w:rPr>
          <w:rFonts w:ascii="Verdana" w:hAnsi="Verdana" w:cs="Arial"/>
          <w:bCs/>
          <w:sz w:val="20"/>
          <w:szCs w:val="20"/>
        </w:rPr>
        <w:t>.</w:t>
      </w:r>
    </w:p>
    <w:p w14:paraId="5C201CE7" w14:textId="422BC771" w:rsidR="00347F96" w:rsidRPr="00B52BC5" w:rsidRDefault="00CF1B34" w:rsidP="2A78066E">
      <w:pPr>
        <w:tabs>
          <w:tab w:val="left" w:pos="540"/>
        </w:tabs>
        <w:spacing w:after="0" w:line="240" w:lineRule="auto"/>
        <w:jc w:val="both"/>
        <w:rPr>
          <w:rFonts w:ascii="Verdana" w:hAnsi="Verdana" w:cs="Arial"/>
          <w:sz w:val="20"/>
          <w:szCs w:val="20"/>
        </w:rPr>
      </w:pPr>
      <w:r w:rsidRPr="00D0066B">
        <w:rPr>
          <w:rFonts w:ascii="Verdana" w:hAnsi="Verdana" w:cs="Arial"/>
          <w:sz w:val="20"/>
          <w:szCs w:val="20"/>
        </w:rPr>
        <w:t xml:space="preserve">Las exposiciones para la financiación especializada de proyectos que cumplan con las condiciones señaladas en el artículo 2.1.2.1.9 del Decreto 2555 de 2010, así como con las características definidas en el artículo 2.1.1.3.3 del </w:t>
      </w:r>
      <w:r w:rsidR="006B0C09" w:rsidRPr="00D0066B">
        <w:rPr>
          <w:rFonts w:ascii="Verdana" w:hAnsi="Verdana" w:cs="Arial"/>
          <w:sz w:val="20"/>
          <w:szCs w:val="20"/>
        </w:rPr>
        <w:t xml:space="preserve">citado </w:t>
      </w:r>
      <w:r w:rsidRPr="00D0066B">
        <w:rPr>
          <w:rFonts w:ascii="Verdana" w:hAnsi="Verdana" w:cs="Arial"/>
          <w:sz w:val="20"/>
          <w:szCs w:val="20"/>
        </w:rPr>
        <w:t>Decreto, con excepción de los literales (c) y (e) del mencionado artículo</w:t>
      </w:r>
      <w:r w:rsidR="005D5B13">
        <w:rPr>
          <w:rFonts w:ascii="Verdana" w:hAnsi="Verdana" w:cs="Arial"/>
          <w:sz w:val="20"/>
          <w:szCs w:val="20"/>
        </w:rPr>
        <w:t xml:space="preserve"> 2.1.1.3.3.</w:t>
      </w:r>
      <w:r w:rsidRPr="00D0066B">
        <w:rPr>
          <w:rFonts w:ascii="Verdana" w:hAnsi="Verdana" w:cs="Arial"/>
          <w:sz w:val="20"/>
          <w:szCs w:val="20"/>
        </w:rPr>
        <w:t>,</w:t>
      </w:r>
      <w:r w:rsidRPr="2A78066E">
        <w:rPr>
          <w:rFonts w:ascii="Verdana" w:hAnsi="Verdana" w:cs="Arial"/>
          <w:sz w:val="20"/>
          <w:szCs w:val="20"/>
        </w:rPr>
        <w:t xml:space="preserve"> se deben controlar de forma separada para cada proyecto. Por lo tanto, estas exposiciones no se agregarán a las exposiciones del grupo conectado de contrapartes conformado por los accionistas, consorciados, miembros de uniones temporales o miembros de otro vehículo de asociación a través del cual se estructure el respectivo proyecto.</w:t>
      </w:r>
    </w:p>
    <w:p w14:paraId="774A003F" w14:textId="77777777" w:rsidR="00347F96" w:rsidRPr="00347F96" w:rsidRDefault="00347F96" w:rsidP="00E32CD7">
      <w:pPr>
        <w:pStyle w:val="Prrafodelista"/>
        <w:tabs>
          <w:tab w:val="left" w:pos="540"/>
        </w:tabs>
        <w:spacing w:after="0" w:line="240" w:lineRule="auto"/>
        <w:ind w:left="0"/>
        <w:jc w:val="both"/>
        <w:rPr>
          <w:rFonts w:ascii="Verdana" w:hAnsi="Verdana" w:cs="Arial"/>
          <w:sz w:val="20"/>
          <w:szCs w:val="20"/>
        </w:rPr>
      </w:pPr>
    </w:p>
    <w:p w14:paraId="266B5879" w14:textId="52A49F53" w:rsidR="00F06BB7" w:rsidRDefault="00F06BB7" w:rsidP="00E32CD7">
      <w:pPr>
        <w:tabs>
          <w:tab w:val="left" w:pos="540"/>
        </w:tabs>
        <w:spacing w:after="0" w:line="240" w:lineRule="auto"/>
        <w:jc w:val="both"/>
        <w:rPr>
          <w:rFonts w:ascii="Verdana" w:hAnsi="Verdana" w:cs="Arial"/>
          <w:bCs/>
          <w:sz w:val="20"/>
          <w:szCs w:val="20"/>
        </w:rPr>
      </w:pPr>
      <w:r>
        <w:rPr>
          <w:rFonts w:ascii="Verdana" w:hAnsi="Verdana" w:cs="Arial"/>
          <w:bCs/>
          <w:sz w:val="20"/>
          <w:szCs w:val="20"/>
        </w:rPr>
        <w:t>2.10.2.</w:t>
      </w:r>
      <w:r w:rsidR="00CE11BA">
        <w:rPr>
          <w:rFonts w:ascii="Verdana" w:hAnsi="Verdana" w:cs="Arial"/>
          <w:bCs/>
          <w:sz w:val="20"/>
          <w:szCs w:val="20"/>
        </w:rPr>
        <w:t>19</w:t>
      </w:r>
      <w:r>
        <w:rPr>
          <w:rFonts w:ascii="Verdana" w:hAnsi="Verdana" w:cs="Arial"/>
          <w:bCs/>
          <w:sz w:val="20"/>
          <w:szCs w:val="20"/>
        </w:rPr>
        <w:t>.</w:t>
      </w:r>
    </w:p>
    <w:p w14:paraId="4DE36F5A" w14:textId="45D78776" w:rsidR="00C2321E" w:rsidRPr="00BD47C9" w:rsidRDefault="00CF1B34" w:rsidP="00E32CD7">
      <w:pPr>
        <w:tabs>
          <w:tab w:val="left" w:pos="540"/>
        </w:tabs>
        <w:spacing w:after="0" w:line="240" w:lineRule="auto"/>
        <w:jc w:val="both"/>
        <w:rPr>
          <w:rFonts w:ascii="Verdana" w:hAnsi="Verdana" w:cs="Arial"/>
          <w:bCs/>
          <w:sz w:val="20"/>
          <w:szCs w:val="20"/>
        </w:rPr>
      </w:pPr>
      <w:r w:rsidRPr="00B52BC5">
        <w:rPr>
          <w:rFonts w:ascii="Verdana" w:hAnsi="Verdana" w:cs="Arial"/>
          <w:bCs/>
          <w:sz w:val="20"/>
          <w:szCs w:val="20"/>
        </w:rPr>
        <w:t>Sin perjuicio de lo anterior, todas las exposiciones frente uno o varios vehículos de financiación para un mismo proyecto deben controlarse de forma conjunta, por corresponder a un riesgo común.</w:t>
      </w:r>
    </w:p>
    <w:p w14:paraId="3080854E" w14:textId="77777777" w:rsidR="00C2321E" w:rsidRPr="007409A5" w:rsidRDefault="00C2321E" w:rsidP="00E32CD7">
      <w:pPr>
        <w:tabs>
          <w:tab w:val="left" w:pos="540"/>
        </w:tabs>
        <w:spacing w:after="0" w:line="240" w:lineRule="auto"/>
        <w:jc w:val="both"/>
        <w:rPr>
          <w:rFonts w:ascii="Verdana" w:hAnsi="Verdana" w:cs="Arial"/>
          <w:bCs/>
          <w:sz w:val="20"/>
          <w:szCs w:val="20"/>
        </w:rPr>
      </w:pPr>
    </w:p>
    <w:p w14:paraId="65B662CD" w14:textId="752BC623" w:rsidR="00F06BB7" w:rsidRPr="007409A5" w:rsidRDefault="00F06BB7" w:rsidP="00E32CD7">
      <w:pPr>
        <w:tabs>
          <w:tab w:val="left" w:pos="540"/>
        </w:tabs>
        <w:spacing w:after="0" w:line="240" w:lineRule="auto"/>
        <w:jc w:val="both"/>
        <w:rPr>
          <w:rFonts w:ascii="Verdana" w:hAnsi="Verdana" w:cs="Arial"/>
          <w:bCs/>
          <w:sz w:val="20"/>
          <w:szCs w:val="20"/>
        </w:rPr>
      </w:pPr>
      <w:r w:rsidRPr="007409A5">
        <w:rPr>
          <w:rFonts w:ascii="Verdana" w:hAnsi="Verdana" w:cs="Arial"/>
          <w:bCs/>
          <w:sz w:val="20"/>
          <w:szCs w:val="20"/>
        </w:rPr>
        <w:t>2.10.2.</w:t>
      </w:r>
      <w:r w:rsidR="00EE38EC" w:rsidRPr="007409A5">
        <w:rPr>
          <w:rFonts w:ascii="Verdana" w:hAnsi="Verdana" w:cs="Arial"/>
          <w:bCs/>
          <w:sz w:val="20"/>
          <w:szCs w:val="20"/>
        </w:rPr>
        <w:t>2</w:t>
      </w:r>
      <w:r w:rsidR="00CE11BA">
        <w:rPr>
          <w:rFonts w:ascii="Verdana" w:hAnsi="Verdana" w:cs="Arial"/>
          <w:bCs/>
          <w:sz w:val="20"/>
          <w:szCs w:val="20"/>
        </w:rPr>
        <w:t>0</w:t>
      </w:r>
      <w:r w:rsidRPr="007409A5">
        <w:rPr>
          <w:rFonts w:ascii="Verdana" w:hAnsi="Verdana" w:cs="Arial"/>
          <w:bCs/>
          <w:sz w:val="20"/>
          <w:szCs w:val="20"/>
        </w:rPr>
        <w:t>.</w:t>
      </w:r>
    </w:p>
    <w:p w14:paraId="63766530" w14:textId="4FE8FEFE" w:rsidR="00CF1B34" w:rsidRPr="00B52BC5" w:rsidRDefault="00CF1B34" w:rsidP="00E32CD7">
      <w:pPr>
        <w:tabs>
          <w:tab w:val="left" w:pos="540"/>
        </w:tabs>
        <w:spacing w:after="0" w:line="240" w:lineRule="auto"/>
        <w:jc w:val="both"/>
        <w:rPr>
          <w:rFonts w:ascii="Verdana" w:hAnsi="Verdana" w:cs="Arial"/>
          <w:bCs/>
          <w:sz w:val="20"/>
          <w:szCs w:val="20"/>
        </w:rPr>
      </w:pPr>
      <w:r w:rsidRPr="007409A5">
        <w:rPr>
          <w:rFonts w:ascii="Verdana" w:hAnsi="Verdana" w:cs="Arial"/>
          <w:bCs/>
          <w:sz w:val="20"/>
          <w:szCs w:val="20"/>
        </w:rPr>
        <w:t>Para efectos de aplicar la excepción prevista e</w:t>
      </w:r>
      <w:r w:rsidR="00BD47C9" w:rsidRPr="007409A5">
        <w:rPr>
          <w:rFonts w:ascii="Verdana" w:hAnsi="Verdana" w:cs="Arial"/>
          <w:bCs/>
          <w:sz w:val="20"/>
          <w:szCs w:val="20"/>
        </w:rPr>
        <w:t>ntre los párrafos 2.10.2</w:t>
      </w:r>
      <w:r w:rsidR="002E14D4">
        <w:rPr>
          <w:rFonts w:ascii="Verdana" w:hAnsi="Verdana" w:cs="Arial"/>
          <w:bCs/>
          <w:sz w:val="20"/>
          <w:szCs w:val="20"/>
        </w:rPr>
        <w:t>.</w:t>
      </w:r>
      <w:r w:rsidR="00BD47C9" w:rsidRPr="007409A5">
        <w:rPr>
          <w:rFonts w:ascii="Verdana" w:hAnsi="Verdana" w:cs="Arial"/>
          <w:bCs/>
          <w:sz w:val="20"/>
          <w:szCs w:val="20"/>
        </w:rPr>
        <w:t>1</w:t>
      </w:r>
      <w:r w:rsidR="00EF502C">
        <w:rPr>
          <w:rFonts w:ascii="Verdana" w:hAnsi="Verdana" w:cs="Arial"/>
          <w:bCs/>
          <w:sz w:val="20"/>
          <w:szCs w:val="20"/>
        </w:rPr>
        <w:t>8</w:t>
      </w:r>
      <w:r w:rsidR="00BD47C9" w:rsidRPr="007409A5">
        <w:rPr>
          <w:rFonts w:ascii="Verdana" w:hAnsi="Verdana" w:cs="Arial"/>
          <w:bCs/>
          <w:sz w:val="20"/>
          <w:szCs w:val="20"/>
        </w:rPr>
        <w:t xml:space="preserve">. y </w:t>
      </w:r>
      <w:r w:rsidR="007409A5" w:rsidRPr="007409A5">
        <w:rPr>
          <w:rFonts w:ascii="Verdana" w:hAnsi="Verdana" w:cs="Arial"/>
          <w:bCs/>
          <w:sz w:val="20"/>
          <w:szCs w:val="20"/>
        </w:rPr>
        <w:t>2.10.2.2</w:t>
      </w:r>
      <w:r w:rsidR="00EF502C">
        <w:rPr>
          <w:rFonts w:ascii="Verdana" w:hAnsi="Verdana" w:cs="Arial"/>
          <w:bCs/>
          <w:sz w:val="20"/>
          <w:szCs w:val="20"/>
        </w:rPr>
        <w:t>0</w:t>
      </w:r>
      <w:r w:rsidR="007409A5" w:rsidRPr="007409A5">
        <w:rPr>
          <w:rFonts w:ascii="Verdana" w:hAnsi="Verdana" w:cs="Arial"/>
          <w:bCs/>
          <w:sz w:val="20"/>
          <w:szCs w:val="20"/>
        </w:rPr>
        <w:t>.</w:t>
      </w:r>
      <w:r w:rsidRPr="007409A5">
        <w:rPr>
          <w:rFonts w:ascii="Verdana" w:hAnsi="Verdana" w:cs="Arial"/>
          <w:bCs/>
          <w:sz w:val="20"/>
          <w:szCs w:val="20"/>
        </w:rPr>
        <w:t xml:space="preserve">, las entidades deben documentar de forma expresa el cumplimiento y verificación de las condiciones señaladas en el artículo 2.1.2.1.9 del Decreto 2555 de 2010, así como de las características definidas en el artículo 2.1.1.3.3 del </w:t>
      </w:r>
      <w:r w:rsidR="007B1333" w:rsidRPr="007409A5">
        <w:rPr>
          <w:rFonts w:ascii="Verdana" w:hAnsi="Verdana" w:cs="Arial"/>
          <w:bCs/>
          <w:sz w:val="20"/>
          <w:szCs w:val="20"/>
        </w:rPr>
        <w:t xml:space="preserve">citado </w:t>
      </w:r>
      <w:r w:rsidRPr="007409A5">
        <w:rPr>
          <w:rFonts w:ascii="Verdana" w:hAnsi="Verdana" w:cs="Arial"/>
          <w:bCs/>
          <w:sz w:val="20"/>
          <w:szCs w:val="20"/>
        </w:rPr>
        <w:t>Decreto, con excepción de los literales (c) y (e) del mencionado artículo</w:t>
      </w:r>
      <w:r w:rsidR="007409A5">
        <w:rPr>
          <w:rFonts w:ascii="Verdana" w:hAnsi="Verdana" w:cs="Arial"/>
          <w:bCs/>
          <w:sz w:val="20"/>
          <w:szCs w:val="20"/>
        </w:rPr>
        <w:t xml:space="preserve"> 2.1.1.3.3</w:t>
      </w:r>
      <w:r w:rsidRPr="007409A5">
        <w:rPr>
          <w:rFonts w:ascii="Verdana" w:hAnsi="Verdana" w:cs="Arial"/>
          <w:bCs/>
          <w:sz w:val="20"/>
          <w:szCs w:val="20"/>
        </w:rPr>
        <w:t>.</w:t>
      </w:r>
      <w:r w:rsidRPr="00B52BC5">
        <w:rPr>
          <w:rFonts w:ascii="Verdana" w:hAnsi="Verdana" w:cs="Arial"/>
          <w:bCs/>
          <w:sz w:val="20"/>
          <w:szCs w:val="20"/>
        </w:rPr>
        <w:t xml:space="preserve"> Esta documentación debe estar a disposición de la Superintendencia, junto con los demás soportes que se estimen convenientes. </w:t>
      </w:r>
    </w:p>
    <w:p w14:paraId="762EA494" w14:textId="77777777" w:rsidR="00C2321E" w:rsidRDefault="00C2321E" w:rsidP="00C2321E">
      <w:pPr>
        <w:spacing w:after="0" w:line="240" w:lineRule="auto"/>
        <w:jc w:val="both"/>
        <w:rPr>
          <w:rFonts w:ascii="Verdana" w:hAnsi="Verdana" w:cs="Arial"/>
          <w:bCs/>
          <w:sz w:val="20"/>
          <w:szCs w:val="20"/>
        </w:rPr>
      </w:pPr>
    </w:p>
    <w:p w14:paraId="640CF275" w14:textId="77777777" w:rsidR="00ED308F" w:rsidRDefault="00ED308F" w:rsidP="00C2321E">
      <w:pPr>
        <w:spacing w:after="0" w:line="240" w:lineRule="auto"/>
        <w:jc w:val="both"/>
        <w:rPr>
          <w:rFonts w:ascii="Verdana" w:hAnsi="Verdana" w:cs="Arial"/>
          <w:bCs/>
          <w:sz w:val="20"/>
          <w:szCs w:val="20"/>
        </w:rPr>
      </w:pPr>
    </w:p>
    <w:p w14:paraId="5F29B34B" w14:textId="77777777" w:rsidR="00ED308F" w:rsidRDefault="00ED308F" w:rsidP="00C2321E">
      <w:pPr>
        <w:spacing w:after="0" w:line="240" w:lineRule="auto"/>
        <w:jc w:val="both"/>
        <w:rPr>
          <w:rFonts w:ascii="Verdana" w:hAnsi="Verdana" w:cs="Arial"/>
          <w:bCs/>
          <w:sz w:val="20"/>
          <w:szCs w:val="20"/>
        </w:rPr>
      </w:pPr>
    </w:p>
    <w:p w14:paraId="06661038" w14:textId="77777777" w:rsidR="00ED308F" w:rsidRDefault="00ED308F" w:rsidP="00C2321E">
      <w:pPr>
        <w:spacing w:after="0" w:line="240" w:lineRule="auto"/>
        <w:jc w:val="both"/>
        <w:rPr>
          <w:rFonts w:ascii="Verdana" w:hAnsi="Verdana" w:cs="Arial"/>
          <w:bCs/>
          <w:sz w:val="20"/>
          <w:szCs w:val="20"/>
        </w:rPr>
      </w:pPr>
    </w:p>
    <w:p w14:paraId="7EB158F6" w14:textId="77777777" w:rsidR="00ED308F" w:rsidRDefault="00ED308F" w:rsidP="00C2321E">
      <w:pPr>
        <w:spacing w:after="0" w:line="240" w:lineRule="auto"/>
        <w:jc w:val="both"/>
        <w:rPr>
          <w:rFonts w:ascii="Verdana" w:hAnsi="Verdana" w:cs="Arial"/>
          <w:bCs/>
          <w:sz w:val="20"/>
          <w:szCs w:val="20"/>
        </w:rPr>
      </w:pPr>
    </w:p>
    <w:p w14:paraId="4B02ADDD" w14:textId="02C90E1A" w:rsidR="00CF1B34" w:rsidRPr="00C2321E" w:rsidRDefault="00CF1B34" w:rsidP="00C2321E">
      <w:pPr>
        <w:pStyle w:val="Prrafodelista"/>
        <w:numPr>
          <w:ilvl w:val="0"/>
          <w:numId w:val="9"/>
        </w:numPr>
        <w:spacing w:after="0" w:line="240" w:lineRule="auto"/>
        <w:ind w:left="284" w:hanging="284"/>
        <w:jc w:val="both"/>
        <w:rPr>
          <w:rFonts w:ascii="Verdana" w:hAnsi="Verdana" w:cs="Arial"/>
          <w:b/>
          <w:sz w:val="20"/>
          <w:szCs w:val="20"/>
        </w:rPr>
      </w:pPr>
      <w:r w:rsidRPr="00C2321E">
        <w:rPr>
          <w:rFonts w:ascii="Verdana" w:hAnsi="Verdana" w:cs="Arial"/>
          <w:b/>
          <w:sz w:val="20"/>
          <w:szCs w:val="20"/>
        </w:rPr>
        <w:lastRenderedPageBreak/>
        <w:t>Inversionistas institucionales y sociedades dedicadas a la inversión en el mercado de capitales</w:t>
      </w:r>
    </w:p>
    <w:p w14:paraId="6604FDA3" w14:textId="77777777" w:rsidR="005B67C2" w:rsidRDefault="005B67C2" w:rsidP="00E32CD7">
      <w:pPr>
        <w:tabs>
          <w:tab w:val="left" w:pos="540"/>
        </w:tabs>
        <w:spacing w:after="0" w:line="240" w:lineRule="auto"/>
        <w:jc w:val="both"/>
        <w:rPr>
          <w:rFonts w:ascii="Verdana" w:hAnsi="Verdana" w:cs="Arial"/>
          <w:bCs/>
          <w:sz w:val="20"/>
          <w:szCs w:val="20"/>
        </w:rPr>
      </w:pPr>
    </w:p>
    <w:p w14:paraId="3355D967" w14:textId="714E5AF9" w:rsidR="00DB135E" w:rsidRDefault="00DB135E" w:rsidP="00E32CD7">
      <w:pPr>
        <w:tabs>
          <w:tab w:val="left" w:pos="540"/>
        </w:tabs>
        <w:spacing w:after="0" w:line="240" w:lineRule="auto"/>
        <w:jc w:val="both"/>
        <w:rPr>
          <w:rFonts w:ascii="Verdana" w:hAnsi="Verdana" w:cs="Arial"/>
          <w:bCs/>
          <w:sz w:val="20"/>
          <w:szCs w:val="20"/>
        </w:rPr>
      </w:pPr>
      <w:r>
        <w:rPr>
          <w:rFonts w:ascii="Verdana" w:hAnsi="Verdana" w:cs="Arial"/>
          <w:bCs/>
          <w:sz w:val="20"/>
          <w:szCs w:val="20"/>
        </w:rPr>
        <w:t>2.10.2.</w:t>
      </w:r>
      <w:r w:rsidR="00EE38EC">
        <w:rPr>
          <w:rFonts w:ascii="Verdana" w:hAnsi="Verdana" w:cs="Arial"/>
          <w:bCs/>
          <w:sz w:val="20"/>
          <w:szCs w:val="20"/>
        </w:rPr>
        <w:t>2</w:t>
      </w:r>
      <w:r w:rsidR="00CE11BA">
        <w:rPr>
          <w:rFonts w:ascii="Verdana" w:hAnsi="Verdana" w:cs="Arial"/>
          <w:bCs/>
          <w:sz w:val="20"/>
          <w:szCs w:val="20"/>
        </w:rPr>
        <w:t>1</w:t>
      </w:r>
      <w:r>
        <w:rPr>
          <w:rFonts w:ascii="Verdana" w:hAnsi="Verdana" w:cs="Arial"/>
          <w:bCs/>
          <w:sz w:val="20"/>
          <w:szCs w:val="20"/>
        </w:rPr>
        <w:t>.</w:t>
      </w:r>
    </w:p>
    <w:p w14:paraId="402261E4" w14:textId="088480D1" w:rsidR="00CF1B34" w:rsidRPr="00897CE6" w:rsidRDefault="00CF1B34" w:rsidP="2A78066E">
      <w:pPr>
        <w:jc w:val="both"/>
        <w:rPr>
          <w:rFonts w:ascii="Verdana" w:hAnsi="Verdana" w:cs="Arial"/>
          <w:sz w:val="20"/>
          <w:szCs w:val="20"/>
        </w:rPr>
      </w:pPr>
      <w:r w:rsidRPr="2A78066E">
        <w:rPr>
          <w:rFonts w:ascii="Verdana" w:hAnsi="Verdana" w:cs="Arial"/>
          <w:sz w:val="20"/>
          <w:szCs w:val="20"/>
        </w:rPr>
        <w:t>De acuerdo con lo previsto en el artículo 2.1.2.1.8 del Decreto 2555 de 2010, las exposiciones frente a: (i) inversionistas institucionales, o (ii) sociedades cuyo objeto principal y exclusivo sea la realización de inversiones en el mercado de capitales, no se agregarán con las exposiciones de otras contrapartes o grupos conectados de contrapartes, siempre que cumplan con los siguientes requisitos:</w:t>
      </w:r>
    </w:p>
    <w:p w14:paraId="4AC52BDD" w14:textId="77777777" w:rsidR="009374F2" w:rsidRDefault="00CF1B34" w:rsidP="009374F2">
      <w:pPr>
        <w:pStyle w:val="Prrafodelista"/>
        <w:numPr>
          <w:ilvl w:val="0"/>
          <w:numId w:val="10"/>
        </w:numPr>
        <w:spacing w:after="0" w:line="240" w:lineRule="auto"/>
        <w:ind w:left="567" w:hanging="567"/>
        <w:jc w:val="both"/>
        <w:rPr>
          <w:rFonts w:ascii="Verdana" w:hAnsi="Verdana" w:cs="Arial"/>
          <w:bCs/>
          <w:sz w:val="20"/>
          <w:szCs w:val="20"/>
        </w:rPr>
      </w:pPr>
      <w:r w:rsidRPr="00C2321E">
        <w:rPr>
          <w:rFonts w:ascii="Verdana" w:hAnsi="Verdana" w:cs="Arial"/>
          <w:bCs/>
          <w:sz w:val="20"/>
          <w:szCs w:val="20"/>
        </w:rPr>
        <w:t xml:space="preserve">Que el respectivo inversionista institucional o sociedad dedicada a la inversión en el mercado de capitales no haya intervenido, directa o indirectamente, en la gestión, administración o toma de decisiones de las demás contrapartes o de los integrantes del grupo conectado de contrapartes cuyas exposiciones deberían acumularse en caso de no ser aplicable la excepción; y que no se proponga hacer ninguna de estas intervenciones en la gestión, administración o toma de decisiones durante el periodo de vigencia de cualquiera de las exposiciones que tenga con la entidad vigilada. </w:t>
      </w:r>
    </w:p>
    <w:p w14:paraId="36F6126A" w14:textId="77777777" w:rsidR="009374F2" w:rsidRDefault="009374F2" w:rsidP="009374F2">
      <w:pPr>
        <w:pStyle w:val="Prrafodelista"/>
        <w:spacing w:after="0" w:line="240" w:lineRule="auto"/>
        <w:ind w:left="567"/>
        <w:jc w:val="both"/>
        <w:rPr>
          <w:rFonts w:ascii="Verdana" w:hAnsi="Verdana" w:cs="Arial"/>
          <w:bCs/>
          <w:sz w:val="20"/>
          <w:szCs w:val="20"/>
        </w:rPr>
      </w:pPr>
    </w:p>
    <w:p w14:paraId="51AC238D" w14:textId="0A88A386" w:rsidR="00CF1B34" w:rsidRPr="009374F2" w:rsidRDefault="00CF1B34" w:rsidP="009374F2">
      <w:pPr>
        <w:pStyle w:val="Prrafodelista"/>
        <w:numPr>
          <w:ilvl w:val="0"/>
          <w:numId w:val="10"/>
        </w:numPr>
        <w:spacing w:after="0" w:line="240" w:lineRule="auto"/>
        <w:ind w:left="567" w:hanging="567"/>
        <w:jc w:val="both"/>
        <w:rPr>
          <w:rFonts w:ascii="Verdana" w:hAnsi="Verdana" w:cs="Arial"/>
          <w:bCs/>
          <w:sz w:val="20"/>
          <w:szCs w:val="20"/>
        </w:rPr>
      </w:pPr>
      <w:r w:rsidRPr="009374F2">
        <w:rPr>
          <w:rFonts w:ascii="Verdana" w:hAnsi="Verdana" w:cs="Arial"/>
          <w:bCs/>
          <w:sz w:val="20"/>
          <w:szCs w:val="20"/>
        </w:rPr>
        <w:t>Que durante los 5 años anteriores el respectivo inversionista institucional o sociedad dedicada a la inversión en el mercado de capitales no haya concurrido a designar administradores de las demás contrapartes o de los integrantes del grupo conectado de contrapartes; o que, de haberlo hecho para este último caso, la designación se haya realizado al margen de cualquier influencia de la matriz del respectivo grupo, y que la designación no corresponda a administradores ni funcionarios de la matriz.</w:t>
      </w:r>
    </w:p>
    <w:p w14:paraId="03F65FA4" w14:textId="77777777" w:rsidR="009374F2" w:rsidRDefault="009374F2" w:rsidP="00DB135E">
      <w:pPr>
        <w:tabs>
          <w:tab w:val="left" w:pos="540"/>
        </w:tabs>
        <w:spacing w:after="0" w:line="240" w:lineRule="auto"/>
        <w:jc w:val="both"/>
        <w:rPr>
          <w:rFonts w:ascii="Verdana" w:hAnsi="Verdana" w:cs="Arial"/>
          <w:bCs/>
          <w:sz w:val="20"/>
          <w:szCs w:val="20"/>
        </w:rPr>
      </w:pPr>
    </w:p>
    <w:p w14:paraId="58009739" w14:textId="6B5A14CF" w:rsidR="00DB135E" w:rsidRDefault="00DB135E" w:rsidP="00DB135E">
      <w:pPr>
        <w:tabs>
          <w:tab w:val="left" w:pos="540"/>
        </w:tabs>
        <w:spacing w:after="0" w:line="240" w:lineRule="auto"/>
        <w:jc w:val="both"/>
        <w:rPr>
          <w:rFonts w:ascii="Verdana" w:hAnsi="Verdana" w:cs="Arial"/>
          <w:bCs/>
          <w:sz w:val="20"/>
          <w:szCs w:val="20"/>
        </w:rPr>
      </w:pPr>
      <w:r>
        <w:rPr>
          <w:rFonts w:ascii="Verdana" w:hAnsi="Verdana" w:cs="Arial"/>
          <w:bCs/>
          <w:sz w:val="20"/>
          <w:szCs w:val="20"/>
        </w:rPr>
        <w:t>2.10.2.</w:t>
      </w:r>
      <w:r w:rsidR="004046FE">
        <w:rPr>
          <w:rFonts w:ascii="Verdana" w:hAnsi="Verdana" w:cs="Arial"/>
          <w:bCs/>
          <w:sz w:val="20"/>
          <w:szCs w:val="20"/>
        </w:rPr>
        <w:t>2</w:t>
      </w:r>
      <w:r w:rsidR="00CE11BA">
        <w:rPr>
          <w:rFonts w:ascii="Verdana" w:hAnsi="Verdana" w:cs="Arial"/>
          <w:bCs/>
          <w:sz w:val="20"/>
          <w:szCs w:val="20"/>
        </w:rPr>
        <w:t>2</w:t>
      </w:r>
      <w:r>
        <w:rPr>
          <w:rFonts w:ascii="Verdana" w:hAnsi="Verdana" w:cs="Arial"/>
          <w:bCs/>
          <w:sz w:val="20"/>
          <w:szCs w:val="20"/>
        </w:rPr>
        <w:t>.</w:t>
      </w:r>
    </w:p>
    <w:p w14:paraId="555A1977" w14:textId="77777777" w:rsidR="00CF1B34" w:rsidRPr="00897CE6" w:rsidRDefault="00CF1B34" w:rsidP="2A78066E">
      <w:pPr>
        <w:jc w:val="both"/>
        <w:rPr>
          <w:rFonts w:ascii="Verdana" w:hAnsi="Verdana" w:cs="Arial"/>
          <w:sz w:val="20"/>
          <w:szCs w:val="20"/>
        </w:rPr>
      </w:pPr>
      <w:r w:rsidRPr="2A78066E">
        <w:rPr>
          <w:rFonts w:ascii="Verdana" w:hAnsi="Verdana" w:cs="Arial"/>
          <w:sz w:val="20"/>
          <w:szCs w:val="20"/>
        </w:rPr>
        <w:t>Para los efectos pertinentes, se consideran inversionistas institucionales: (i) las sociedades administradoras de fondos de pensiones y cesantías, así como los fondos que estas administran; (ii) las entidades aseguradoras; (iii) las sociedades comisionistas de bolsa de valores, así como los fondos de inversión colectiva abiertos que estas administran; y (iv) las sociedades fiduciarias, así como los fondos de inversión colectiva abiertos que estas administran.</w:t>
      </w:r>
    </w:p>
    <w:p w14:paraId="16EBD399" w14:textId="14435399" w:rsidR="00DB135E" w:rsidRDefault="00DB135E" w:rsidP="00DB135E">
      <w:pPr>
        <w:tabs>
          <w:tab w:val="left" w:pos="540"/>
        </w:tabs>
        <w:spacing w:after="0" w:line="240" w:lineRule="auto"/>
        <w:jc w:val="both"/>
        <w:rPr>
          <w:rFonts w:ascii="Verdana" w:hAnsi="Verdana" w:cs="Arial"/>
          <w:bCs/>
          <w:sz w:val="20"/>
          <w:szCs w:val="20"/>
        </w:rPr>
      </w:pPr>
      <w:r>
        <w:rPr>
          <w:rFonts w:ascii="Verdana" w:hAnsi="Verdana" w:cs="Arial"/>
          <w:bCs/>
          <w:sz w:val="20"/>
          <w:szCs w:val="20"/>
        </w:rPr>
        <w:t>2.10.2.</w:t>
      </w:r>
      <w:r w:rsidR="004046FE">
        <w:rPr>
          <w:rFonts w:ascii="Verdana" w:hAnsi="Verdana" w:cs="Arial"/>
          <w:bCs/>
          <w:sz w:val="20"/>
          <w:szCs w:val="20"/>
        </w:rPr>
        <w:t>2</w:t>
      </w:r>
      <w:r w:rsidR="00CE11BA">
        <w:rPr>
          <w:rFonts w:ascii="Verdana" w:hAnsi="Verdana" w:cs="Arial"/>
          <w:bCs/>
          <w:sz w:val="20"/>
          <w:szCs w:val="20"/>
        </w:rPr>
        <w:t>3</w:t>
      </w:r>
      <w:r>
        <w:rPr>
          <w:rFonts w:ascii="Verdana" w:hAnsi="Verdana" w:cs="Arial"/>
          <w:bCs/>
          <w:sz w:val="20"/>
          <w:szCs w:val="20"/>
        </w:rPr>
        <w:t>.</w:t>
      </w:r>
    </w:p>
    <w:p w14:paraId="3444A27C" w14:textId="500BE56F" w:rsidR="00CF1B34" w:rsidRPr="00897CE6" w:rsidRDefault="00CF1B34" w:rsidP="2A78066E">
      <w:pPr>
        <w:jc w:val="both"/>
        <w:rPr>
          <w:rFonts w:ascii="Verdana" w:hAnsi="Verdana" w:cs="Arial"/>
          <w:sz w:val="20"/>
          <w:szCs w:val="20"/>
        </w:rPr>
      </w:pPr>
      <w:r w:rsidRPr="2A78066E">
        <w:rPr>
          <w:rFonts w:ascii="Verdana" w:hAnsi="Verdana" w:cs="Arial"/>
          <w:sz w:val="20"/>
          <w:szCs w:val="20"/>
        </w:rPr>
        <w:t xml:space="preserve">Por su parte, se consideran sociedades cuyo objeto principal y exclusivo sea la realización de inversiones en el mercado de capitales aquellas sociedades comerciales que cumplan los siguientes requisitos: (i) ser consideradas como inversionista profesional en los términos del artículo 7.2.1.1.2 del Decreto 2555 de 2010 o de cualquier otra norma que lo modifique, sustituya o adicione; y (ii) contemplar como objeto exclusivo la realización de inversiones en instrumentos de renta fija o renta variable, fondos de inversión, productos y notas estructuradas, instrumentos financieros derivados y demás productos de inversión financiera, en el mercado local o internacional, de forma que estas sociedades no podrán tener objeto social indeterminado. </w:t>
      </w:r>
    </w:p>
    <w:p w14:paraId="44DD33BF" w14:textId="29AAAA3F" w:rsidR="00DB135E" w:rsidRDefault="00DB135E" w:rsidP="00DB135E">
      <w:pPr>
        <w:tabs>
          <w:tab w:val="left" w:pos="540"/>
        </w:tabs>
        <w:spacing w:after="0" w:line="240" w:lineRule="auto"/>
        <w:jc w:val="both"/>
        <w:rPr>
          <w:rFonts w:ascii="Verdana" w:hAnsi="Verdana" w:cs="Arial"/>
          <w:bCs/>
          <w:sz w:val="20"/>
          <w:szCs w:val="20"/>
        </w:rPr>
      </w:pPr>
      <w:r>
        <w:rPr>
          <w:rFonts w:ascii="Verdana" w:hAnsi="Verdana" w:cs="Arial"/>
          <w:bCs/>
          <w:sz w:val="20"/>
          <w:szCs w:val="20"/>
        </w:rPr>
        <w:t>2.10.2.</w:t>
      </w:r>
      <w:r w:rsidR="004046FE">
        <w:rPr>
          <w:rFonts w:ascii="Verdana" w:hAnsi="Verdana" w:cs="Arial"/>
          <w:bCs/>
          <w:sz w:val="20"/>
          <w:szCs w:val="20"/>
        </w:rPr>
        <w:t>2</w:t>
      </w:r>
      <w:r w:rsidR="00CE11BA">
        <w:rPr>
          <w:rFonts w:ascii="Verdana" w:hAnsi="Verdana" w:cs="Arial"/>
          <w:bCs/>
          <w:sz w:val="20"/>
          <w:szCs w:val="20"/>
        </w:rPr>
        <w:t>4</w:t>
      </w:r>
      <w:r>
        <w:rPr>
          <w:rFonts w:ascii="Verdana" w:hAnsi="Verdana" w:cs="Arial"/>
          <w:bCs/>
          <w:sz w:val="20"/>
          <w:szCs w:val="20"/>
        </w:rPr>
        <w:t>.</w:t>
      </w:r>
    </w:p>
    <w:p w14:paraId="331A81C2" w14:textId="755813A7" w:rsidR="00CF1B34" w:rsidRPr="00897CE6" w:rsidRDefault="00CF1B34" w:rsidP="00CF1B34">
      <w:pPr>
        <w:jc w:val="both"/>
        <w:rPr>
          <w:rFonts w:ascii="Verdana" w:hAnsi="Verdana" w:cs="Arial"/>
          <w:bCs/>
          <w:sz w:val="20"/>
          <w:szCs w:val="20"/>
        </w:rPr>
      </w:pPr>
      <w:r w:rsidRPr="00897CE6">
        <w:rPr>
          <w:rFonts w:ascii="Verdana" w:hAnsi="Verdana" w:cs="Arial"/>
          <w:bCs/>
          <w:sz w:val="20"/>
          <w:szCs w:val="20"/>
        </w:rPr>
        <w:t xml:space="preserve">En consecuencia, las exposiciones que correspondan a operaciones activas de crédito de un </w:t>
      </w:r>
      <w:r w:rsidRPr="001909B8">
        <w:rPr>
          <w:rFonts w:ascii="Verdana" w:hAnsi="Verdana" w:cs="Arial"/>
          <w:bCs/>
          <w:sz w:val="20"/>
          <w:szCs w:val="20"/>
        </w:rPr>
        <w:t xml:space="preserve">establecimiento de crédito frente a las sociedades dedicadas a la inversión de que trata </w:t>
      </w:r>
      <w:r w:rsidR="001909B8" w:rsidRPr="001909B8">
        <w:rPr>
          <w:rFonts w:ascii="Verdana" w:hAnsi="Verdana" w:cs="Arial"/>
          <w:bCs/>
          <w:sz w:val="20"/>
          <w:szCs w:val="20"/>
        </w:rPr>
        <w:t>el párrafo 2.10.2.2</w:t>
      </w:r>
      <w:r w:rsidR="00EF502C">
        <w:rPr>
          <w:rFonts w:ascii="Verdana" w:hAnsi="Verdana" w:cs="Arial"/>
          <w:bCs/>
          <w:sz w:val="20"/>
          <w:szCs w:val="20"/>
        </w:rPr>
        <w:t>3</w:t>
      </w:r>
      <w:r w:rsidR="001909B8" w:rsidRPr="001909B8">
        <w:rPr>
          <w:rFonts w:ascii="Verdana" w:hAnsi="Verdana" w:cs="Arial"/>
          <w:bCs/>
          <w:sz w:val="20"/>
          <w:szCs w:val="20"/>
        </w:rPr>
        <w:t>.</w:t>
      </w:r>
      <w:r w:rsidRPr="001909B8">
        <w:rPr>
          <w:rFonts w:ascii="Verdana" w:hAnsi="Verdana" w:cs="Arial"/>
          <w:bCs/>
          <w:sz w:val="20"/>
          <w:szCs w:val="20"/>
        </w:rPr>
        <w:t xml:space="preserve"> no podrán tener como finalidad el fondeo de otras operaciones de crédito que pretenda realizar</w:t>
      </w:r>
      <w:r w:rsidRPr="00897CE6">
        <w:rPr>
          <w:rFonts w:ascii="Verdana" w:hAnsi="Verdana" w:cs="Arial"/>
          <w:bCs/>
          <w:sz w:val="20"/>
          <w:szCs w:val="20"/>
        </w:rPr>
        <w:t xml:space="preserve"> la respectiva sociedad en calidad de prestamista. </w:t>
      </w:r>
    </w:p>
    <w:p w14:paraId="24C2CECA" w14:textId="335276A3" w:rsidR="00DB135E" w:rsidRDefault="00DB135E" w:rsidP="00DB135E">
      <w:pPr>
        <w:tabs>
          <w:tab w:val="left" w:pos="540"/>
        </w:tabs>
        <w:spacing w:after="0" w:line="240" w:lineRule="auto"/>
        <w:jc w:val="both"/>
        <w:rPr>
          <w:rFonts w:ascii="Verdana" w:hAnsi="Verdana" w:cs="Arial"/>
          <w:bCs/>
          <w:sz w:val="20"/>
          <w:szCs w:val="20"/>
        </w:rPr>
      </w:pPr>
      <w:r>
        <w:rPr>
          <w:rFonts w:ascii="Verdana" w:hAnsi="Verdana" w:cs="Arial"/>
          <w:bCs/>
          <w:sz w:val="20"/>
          <w:szCs w:val="20"/>
        </w:rPr>
        <w:t>2.10.2.2</w:t>
      </w:r>
      <w:r w:rsidR="00CE11BA">
        <w:rPr>
          <w:rFonts w:ascii="Verdana" w:hAnsi="Verdana" w:cs="Arial"/>
          <w:bCs/>
          <w:sz w:val="20"/>
          <w:szCs w:val="20"/>
        </w:rPr>
        <w:t>5</w:t>
      </w:r>
      <w:r>
        <w:rPr>
          <w:rFonts w:ascii="Verdana" w:hAnsi="Verdana" w:cs="Arial"/>
          <w:bCs/>
          <w:sz w:val="20"/>
          <w:szCs w:val="20"/>
        </w:rPr>
        <w:t>.</w:t>
      </w:r>
    </w:p>
    <w:p w14:paraId="395607E0" w14:textId="6E52838D" w:rsidR="009374F2" w:rsidRPr="004C5F41" w:rsidRDefault="00CF1B34" w:rsidP="004C5F41">
      <w:pPr>
        <w:jc w:val="both"/>
        <w:rPr>
          <w:rFonts w:ascii="Verdana" w:hAnsi="Verdana" w:cs="Arial"/>
          <w:sz w:val="20"/>
          <w:szCs w:val="20"/>
        </w:rPr>
      </w:pPr>
      <w:r w:rsidRPr="2A78066E">
        <w:rPr>
          <w:rFonts w:ascii="Verdana" w:hAnsi="Verdana" w:cs="Arial"/>
          <w:sz w:val="20"/>
          <w:szCs w:val="20"/>
        </w:rPr>
        <w:t xml:space="preserve">Por una única vez para cada caso, las entidades vigiladas deben solicitar autorización previa de la SFC para cada inversionista institucional o sociedad dedicada a las inversiones en el mercado de capitales. Por lo tanto, no es procedente aplicar esta excepción en tanto no se cuente con la autorización de la Superintendencia. </w:t>
      </w:r>
    </w:p>
    <w:p w14:paraId="4F4809E4" w14:textId="31774352" w:rsidR="00DB135E" w:rsidRDefault="00DB135E" w:rsidP="00DB135E">
      <w:pPr>
        <w:tabs>
          <w:tab w:val="left" w:pos="540"/>
        </w:tabs>
        <w:spacing w:after="0" w:line="240" w:lineRule="auto"/>
        <w:jc w:val="both"/>
        <w:rPr>
          <w:rFonts w:ascii="Verdana" w:hAnsi="Verdana" w:cs="Arial"/>
          <w:bCs/>
          <w:sz w:val="20"/>
          <w:szCs w:val="20"/>
        </w:rPr>
      </w:pPr>
      <w:r>
        <w:rPr>
          <w:rFonts w:ascii="Verdana" w:hAnsi="Verdana" w:cs="Arial"/>
          <w:bCs/>
          <w:sz w:val="20"/>
          <w:szCs w:val="20"/>
        </w:rPr>
        <w:t>2.10.2.2</w:t>
      </w:r>
      <w:r w:rsidR="00CE11BA">
        <w:rPr>
          <w:rFonts w:ascii="Verdana" w:hAnsi="Verdana" w:cs="Arial"/>
          <w:bCs/>
          <w:sz w:val="20"/>
          <w:szCs w:val="20"/>
        </w:rPr>
        <w:t>6</w:t>
      </w:r>
      <w:r>
        <w:rPr>
          <w:rFonts w:ascii="Verdana" w:hAnsi="Verdana" w:cs="Arial"/>
          <w:bCs/>
          <w:sz w:val="20"/>
          <w:szCs w:val="20"/>
        </w:rPr>
        <w:t>.</w:t>
      </w:r>
    </w:p>
    <w:p w14:paraId="2D52D1C7" w14:textId="0C409910" w:rsidR="00CF1B34" w:rsidRPr="00897CE6" w:rsidRDefault="00CF1B34" w:rsidP="00CF1B34">
      <w:pPr>
        <w:jc w:val="both"/>
        <w:rPr>
          <w:rFonts w:ascii="Verdana" w:hAnsi="Verdana" w:cs="Arial"/>
          <w:bCs/>
          <w:sz w:val="20"/>
          <w:szCs w:val="20"/>
        </w:rPr>
      </w:pPr>
      <w:r w:rsidRPr="00897CE6">
        <w:rPr>
          <w:rFonts w:ascii="Verdana" w:hAnsi="Verdana" w:cs="Arial"/>
          <w:bCs/>
          <w:sz w:val="20"/>
          <w:szCs w:val="20"/>
        </w:rPr>
        <w:t xml:space="preserve">En la respectiva solicitud, las entidades vigiladas deben hacer referencia expresa al cumplimiento de los requisitos previstos </w:t>
      </w:r>
      <w:r w:rsidR="004C5F41">
        <w:rPr>
          <w:rFonts w:ascii="Verdana" w:hAnsi="Verdana" w:cs="Arial"/>
          <w:bCs/>
          <w:sz w:val="20"/>
          <w:szCs w:val="20"/>
        </w:rPr>
        <w:t>entre los párrafos 2.10.2.2</w:t>
      </w:r>
      <w:r w:rsidR="00EF502C">
        <w:rPr>
          <w:rFonts w:ascii="Verdana" w:hAnsi="Verdana" w:cs="Arial"/>
          <w:bCs/>
          <w:sz w:val="20"/>
          <w:szCs w:val="20"/>
        </w:rPr>
        <w:t>1</w:t>
      </w:r>
      <w:r w:rsidR="004C5F41">
        <w:rPr>
          <w:rFonts w:ascii="Verdana" w:hAnsi="Verdana" w:cs="Arial"/>
          <w:bCs/>
          <w:sz w:val="20"/>
          <w:szCs w:val="20"/>
        </w:rPr>
        <w:t>. y 2.10.2</w:t>
      </w:r>
      <w:r w:rsidR="00585503">
        <w:rPr>
          <w:rFonts w:ascii="Verdana" w:hAnsi="Verdana" w:cs="Arial"/>
          <w:bCs/>
          <w:sz w:val="20"/>
          <w:szCs w:val="20"/>
        </w:rPr>
        <w:t>.2</w:t>
      </w:r>
      <w:r w:rsidR="00EF502C">
        <w:rPr>
          <w:rFonts w:ascii="Verdana" w:hAnsi="Verdana" w:cs="Arial"/>
          <w:bCs/>
          <w:sz w:val="20"/>
          <w:szCs w:val="20"/>
        </w:rPr>
        <w:t>8</w:t>
      </w:r>
      <w:r w:rsidR="00585503">
        <w:rPr>
          <w:rFonts w:ascii="Verdana" w:hAnsi="Verdana" w:cs="Arial"/>
          <w:bCs/>
          <w:sz w:val="20"/>
          <w:szCs w:val="20"/>
        </w:rPr>
        <w:t>.</w:t>
      </w:r>
      <w:r w:rsidRPr="00897CE6">
        <w:rPr>
          <w:rFonts w:ascii="Verdana" w:hAnsi="Verdana" w:cs="Arial"/>
          <w:bCs/>
          <w:sz w:val="20"/>
          <w:szCs w:val="20"/>
        </w:rPr>
        <w:t xml:space="preserve">, indicar los cupos que se asignan a la contraparte, el tipo de operaciones que realizará con la respectiva contraparte en desarrollo de su objeto social y la destinación de los recursos que se permitirá para el caso de las operaciones activas de crédito, sin perjuicio de los demás aspectos que requiera esta Superintendencia en cada caso. </w:t>
      </w:r>
    </w:p>
    <w:p w14:paraId="3DC5A56C" w14:textId="2C58A7B8" w:rsidR="00DB135E" w:rsidRDefault="00DB135E" w:rsidP="00DB135E">
      <w:pPr>
        <w:tabs>
          <w:tab w:val="left" w:pos="540"/>
        </w:tabs>
        <w:spacing w:after="0" w:line="240" w:lineRule="auto"/>
        <w:jc w:val="both"/>
        <w:rPr>
          <w:rFonts w:ascii="Verdana" w:hAnsi="Verdana" w:cs="Arial"/>
          <w:bCs/>
          <w:sz w:val="20"/>
          <w:szCs w:val="20"/>
        </w:rPr>
      </w:pPr>
      <w:r>
        <w:rPr>
          <w:rFonts w:ascii="Verdana" w:hAnsi="Verdana" w:cs="Arial"/>
          <w:bCs/>
          <w:sz w:val="20"/>
          <w:szCs w:val="20"/>
        </w:rPr>
        <w:t>2.10.2.2</w:t>
      </w:r>
      <w:r w:rsidR="00CE11BA">
        <w:rPr>
          <w:rFonts w:ascii="Verdana" w:hAnsi="Verdana" w:cs="Arial"/>
          <w:bCs/>
          <w:sz w:val="20"/>
          <w:szCs w:val="20"/>
        </w:rPr>
        <w:t>7</w:t>
      </w:r>
      <w:r>
        <w:rPr>
          <w:rFonts w:ascii="Verdana" w:hAnsi="Verdana" w:cs="Arial"/>
          <w:bCs/>
          <w:sz w:val="20"/>
          <w:szCs w:val="20"/>
        </w:rPr>
        <w:t>.</w:t>
      </w:r>
    </w:p>
    <w:p w14:paraId="775F4B2D" w14:textId="77777777" w:rsidR="00CF1B34" w:rsidRPr="00897CE6" w:rsidRDefault="00CF1B34" w:rsidP="2A78066E">
      <w:pPr>
        <w:jc w:val="both"/>
        <w:rPr>
          <w:rFonts w:ascii="Verdana" w:hAnsi="Verdana" w:cs="Arial"/>
          <w:sz w:val="20"/>
          <w:szCs w:val="20"/>
        </w:rPr>
      </w:pPr>
      <w:r w:rsidRPr="2A78066E">
        <w:rPr>
          <w:rFonts w:ascii="Verdana" w:hAnsi="Verdana" w:cs="Arial"/>
          <w:sz w:val="20"/>
          <w:szCs w:val="20"/>
        </w:rPr>
        <w:t xml:space="preserve">Esta autorización deberá renovarse cada vez que el respectivo inversionista institucional o sociedad dedicada a las inversiones modifique su objeto social o adelante un proceso </w:t>
      </w:r>
      <w:r w:rsidRPr="2A78066E">
        <w:rPr>
          <w:rFonts w:ascii="Verdana" w:hAnsi="Verdana" w:cs="Arial"/>
          <w:sz w:val="20"/>
          <w:szCs w:val="20"/>
        </w:rPr>
        <w:lastRenderedPageBreak/>
        <w:t xml:space="preserve">de fusión, adquisición, escisión o de transformación societaria, o cuando sea admitida para adelantar un proceso de reorganización o insolvencia en los términos de la Ley 1116 de 2006 o de cualquier otra norma que la sustituya, adicione o modifique. Igualmente, la autorización deberá renovarse cada vez que se modifiquen los cupos que se asignan a la contraparte y que se informaron en la solicitud inicial, o cuando se presente una situación que implique un cambio en la exposición de riesgo o en su control. </w:t>
      </w:r>
    </w:p>
    <w:p w14:paraId="699A1328" w14:textId="04BAD01D" w:rsidR="00DB135E" w:rsidRDefault="00DB135E" w:rsidP="00DB135E">
      <w:pPr>
        <w:tabs>
          <w:tab w:val="left" w:pos="540"/>
        </w:tabs>
        <w:spacing w:after="0" w:line="240" w:lineRule="auto"/>
        <w:jc w:val="both"/>
        <w:rPr>
          <w:rFonts w:ascii="Verdana" w:hAnsi="Verdana" w:cs="Arial"/>
          <w:bCs/>
          <w:sz w:val="20"/>
          <w:szCs w:val="20"/>
        </w:rPr>
      </w:pPr>
      <w:r>
        <w:rPr>
          <w:rFonts w:ascii="Verdana" w:hAnsi="Verdana" w:cs="Arial"/>
          <w:bCs/>
          <w:sz w:val="20"/>
          <w:szCs w:val="20"/>
        </w:rPr>
        <w:t>2.10.2.2</w:t>
      </w:r>
      <w:r w:rsidR="00CE11BA">
        <w:rPr>
          <w:rFonts w:ascii="Verdana" w:hAnsi="Verdana" w:cs="Arial"/>
          <w:bCs/>
          <w:sz w:val="20"/>
          <w:szCs w:val="20"/>
        </w:rPr>
        <w:t>8</w:t>
      </w:r>
      <w:r>
        <w:rPr>
          <w:rFonts w:ascii="Verdana" w:hAnsi="Verdana" w:cs="Arial"/>
          <w:bCs/>
          <w:sz w:val="20"/>
          <w:szCs w:val="20"/>
        </w:rPr>
        <w:t>.</w:t>
      </w:r>
    </w:p>
    <w:p w14:paraId="7615142C" w14:textId="6ACC758C" w:rsidR="0072130F" w:rsidRDefault="00CF1B34" w:rsidP="00857253">
      <w:pPr>
        <w:jc w:val="both"/>
        <w:rPr>
          <w:rFonts w:ascii="Verdana" w:hAnsi="Verdana" w:cs="Arial"/>
          <w:bCs/>
          <w:sz w:val="20"/>
          <w:szCs w:val="20"/>
        </w:rPr>
      </w:pPr>
      <w:r w:rsidRPr="00897CE6">
        <w:rPr>
          <w:rFonts w:ascii="Verdana" w:hAnsi="Verdana" w:cs="Arial"/>
          <w:bCs/>
          <w:sz w:val="20"/>
          <w:szCs w:val="20"/>
        </w:rPr>
        <w:t xml:space="preserve">En todo caso, la entidad vigilada deberá adoptar medidas para hacer seguimiento periódico al cumplimiento de los requisitos previstos </w:t>
      </w:r>
      <w:r w:rsidR="00585503">
        <w:rPr>
          <w:rFonts w:ascii="Verdana" w:hAnsi="Verdana" w:cs="Arial"/>
          <w:bCs/>
          <w:sz w:val="20"/>
          <w:szCs w:val="20"/>
        </w:rPr>
        <w:t>entre los párrafos 2.10.2.2</w:t>
      </w:r>
      <w:r w:rsidR="00EF502C">
        <w:rPr>
          <w:rFonts w:ascii="Verdana" w:hAnsi="Verdana" w:cs="Arial"/>
          <w:bCs/>
          <w:sz w:val="20"/>
          <w:szCs w:val="20"/>
        </w:rPr>
        <w:t>1</w:t>
      </w:r>
      <w:r w:rsidR="00585503">
        <w:rPr>
          <w:rFonts w:ascii="Verdana" w:hAnsi="Verdana" w:cs="Arial"/>
          <w:bCs/>
          <w:sz w:val="20"/>
          <w:szCs w:val="20"/>
        </w:rPr>
        <w:t>. y 2.10.2.</w:t>
      </w:r>
      <w:r w:rsidR="00585503" w:rsidRPr="00585503">
        <w:rPr>
          <w:rFonts w:ascii="Verdana" w:hAnsi="Verdana" w:cs="Arial"/>
          <w:bCs/>
          <w:sz w:val="20"/>
          <w:szCs w:val="20"/>
        </w:rPr>
        <w:t>2</w:t>
      </w:r>
      <w:r w:rsidR="00EF502C">
        <w:rPr>
          <w:rFonts w:ascii="Verdana" w:hAnsi="Verdana" w:cs="Arial"/>
          <w:bCs/>
          <w:sz w:val="20"/>
          <w:szCs w:val="20"/>
        </w:rPr>
        <w:t>8</w:t>
      </w:r>
      <w:r w:rsidR="00585503" w:rsidRPr="00585503">
        <w:rPr>
          <w:rFonts w:ascii="Verdana" w:hAnsi="Verdana" w:cs="Arial"/>
          <w:bCs/>
          <w:sz w:val="20"/>
          <w:szCs w:val="20"/>
        </w:rPr>
        <w:t>.</w:t>
      </w:r>
      <w:r w:rsidRPr="00585503">
        <w:rPr>
          <w:rFonts w:ascii="Verdana" w:hAnsi="Verdana" w:cs="Arial"/>
          <w:bCs/>
          <w:sz w:val="20"/>
          <w:szCs w:val="20"/>
        </w:rPr>
        <w:t xml:space="preserve"> y deberá</w:t>
      </w:r>
      <w:r w:rsidRPr="00897CE6">
        <w:rPr>
          <w:rFonts w:ascii="Verdana" w:hAnsi="Verdana" w:cs="Arial"/>
          <w:bCs/>
          <w:sz w:val="20"/>
          <w:szCs w:val="20"/>
        </w:rPr>
        <w:t xml:space="preserve"> abstenerse de aplicar la excepción cuando conozca de situaciones que comprometan el cumplimiento de los mencionados requisitos, lo cual deberá ser informado a la SFC.</w:t>
      </w:r>
    </w:p>
    <w:p w14:paraId="21B3CF9A" w14:textId="5720C55B" w:rsidR="0072130F" w:rsidRPr="00C2321E" w:rsidRDefault="0072130F" w:rsidP="0072130F">
      <w:pPr>
        <w:pStyle w:val="Prrafodelista"/>
        <w:numPr>
          <w:ilvl w:val="0"/>
          <w:numId w:val="9"/>
        </w:numPr>
        <w:spacing w:after="0" w:line="240" w:lineRule="auto"/>
        <w:ind w:left="284" w:hanging="284"/>
        <w:jc w:val="both"/>
        <w:rPr>
          <w:rFonts w:ascii="Verdana" w:hAnsi="Verdana" w:cs="Arial"/>
          <w:b/>
          <w:sz w:val="20"/>
          <w:szCs w:val="20"/>
        </w:rPr>
      </w:pPr>
      <w:r>
        <w:rPr>
          <w:rFonts w:ascii="Verdana" w:hAnsi="Verdana" w:cs="Arial"/>
          <w:b/>
          <w:sz w:val="20"/>
          <w:szCs w:val="20"/>
        </w:rPr>
        <w:t>Entes territoriales y entidades descentralizadas</w:t>
      </w:r>
    </w:p>
    <w:p w14:paraId="0A3004EA" w14:textId="77777777" w:rsidR="0072130F" w:rsidRDefault="0072130F" w:rsidP="0072130F">
      <w:pPr>
        <w:tabs>
          <w:tab w:val="left" w:pos="540"/>
        </w:tabs>
        <w:spacing w:after="0" w:line="240" w:lineRule="auto"/>
        <w:jc w:val="both"/>
        <w:rPr>
          <w:rFonts w:ascii="Verdana" w:hAnsi="Verdana" w:cs="Arial"/>
          <w:bCs/>
          <w:sz w:val="20"/>
          <w:szCs w:val="20"/>
        </w:rPr>
      </w:pPr>
    </w:p>
    <w:p w14:paraId="66963BEF" w14:textId="30E0822A" w:rsidR="000E241D" w:rsidRDefault="000E241D" w:rsidP="000E241D">
      <w:pPr>
        <w:tabs>
          <w:tab w:val="left" w:pos="540"/>
        </w:tabs>
        <w:spacing w:after="0" w:line="240" w:lineRule="auto"/>
        <w:jc w:val="both"/>
        <w:divId w:val="984968649"/>
        <w:rPr>
          <w:rFonts w:ascii="Verdana" w:hAnsi="Verdana" w:cs="Arial"/>
          <w:bCs/>
          <w:sz w:val="20"/>
          <w:szCs w:val="20"/>
        </w:rPr>
      </w:pPr>
      <w:r>
        <w:rPr>
          <w:rFonts w:ascii="Verdana" w:hAnsi="Verdana" w:cs="Arial"/>
          <w:bCs/>
          <w:sz w:val="20"/>
          <w:szCs w:val="20"/>
        </w:rPr>
        <w:t>2.10.2.2</w:t>
      </w:r>
      <w:r w:rsidR="004552C9">
        <w:rPr>
          <w:rFonts w:ascii="Verdana" w:hAnsi="Verdana" w:cs="Arial"/>
          <w:bCs/>
          <w:sz w:val="20"/>
          <w:szCs w:val="20"/>
        </w:rPr>
        <w:t>9</w:t>
      </w:r>
      <w:r>
        <w:rPr>
          <w:rFonts w:ascii="Verdana" w:hAnsi="Verdana" w:cs="Arial"/>
          <w:bCs/>
          <w:sz w:val="20"/>
          <w:szCs w:val="20"/>
        </w:rPr>
        <w:t>.</w:t>
      </w:r>
    </w:p>
    <w:p w14:paraId="4F7C941D" w14:textId="6251628B" w:rsidR="000E241D" w:rsidRDefault="000E241D" w:rsidP="000E241D">
      <w:pPr>
        <w:jc w:val="both"/>
        <w:divId w:val="984968649"/>
        <w:rPr>
          <w:rFonts w:ascii="Verdana" w:hAnsi="Verdana" w:cs="Arial"/>
          <w:bCs/>
          <w:sz w:val="20"/>
          <w:szCs w:val="20"/>
        </w:rPr>
      </w:pPr>
      <w:r>
        <w:rPr>
          <w:rFonts w:ascii="Verdana" w:hAnsi="Verdana" w:cs="Arial"/>
          <w:bCs/>
          <w:sz w:val="20"/>
          <w:szCs w:val="20"/>
        </w:rPr>
        <w:t xml:space="preserve">De </w:t>
      </w:r>
      <w:r w:rsidR="00223961" w:rsidRPr="00857253">
        <w:rPr>
          <w:rFonts w:ascii="Verdana" w:hAnsi="Verdana" w:cs="Arial"/>
          <w:bCs/>
          <w:sz w:val="20"/>
          <w:szCs w:val="20"/>
        </w:rPr>
        <w:t xml:space="preserve">acuerdo con lo previsto en el parágrafo 3 del artículo 2.1.2.1.7 del Decreto 2555 de 2010, las exposiciones con entes territoriales y entidades descentralizadas del sector público en sus diferentes órdenes se deben controlar de forma separada. Por lo tanto, dichas exposiciones no se agregarán a las exposiciones de ningún tipo de grupo conectado de contrapartes, siempre que se pueda demostrar la existencia de autonomía administrativa y financiera, según lo dispuesto en el parágrafo 3 del artículo 2.1.2.1.7 del Decreto 2555 de 2010. </w:t>
      </w:r>
    </w:p>
    <w:p w14:paraId="45E6AEAC" w14:textId="79F62BDB" w:rsidR="000E241D" w:rsidRDefault="000E241D" w:rsidP="000E241D">
      <w:pPr>
        <w:tabs>
          <w:tab w:val="left" w:pos="540"/>
        </w:tabs>
        <w:spacing w:after="0" w:line="240" w:lineRule="auto"/>
        <w:jc w:val="both"/>
        <w:divId w:val="984968649"/>
        <w:rPr>
          <w:rFonts w:ascii="Verdana" w:hAnsi="Verdana" w:cs="Arial"/>
          <w:bCs/>
          <w:sz w:val="20"/>
          <w:szCs w:val="20"/>
        </w:rPr>
      </w:pPr>
      <w:r>
        <w:rPr>
          <w:rFonts w:ascii="Verdana" w:hAnsi="Verdana" w:cs="Arial"/>
          <w:bCs/>
          <w:sz w:val="20"/>
          <w:szCs w:val="20"/>
        </w:rPr>
        <w:t>2.10.2.</w:t>
      </w:r>
      <w:r w:rsidR="004552C9">
        <w:rPr>
          <w:rFonts w:ascii="Verdana" w:hAnsi="Verdana" w:cs="Arial"/>
          <w:bCs/>
          <w:sz w:val="20"/>
          <w:szCs w:val="20"/>
        </w:rPr>
        <w:t>30</w:t>
      </w:r>
      <w:r>
        <w:rPr>
          <w:rFonts w:ascii="Verdana" w:hAnsi="Verdana" w:cs="Arial"/>
          <w:bCs/>
          <w:sz w:val="20"/>
          <w:szCs w:val="20"/>
        </w:rPr>
        <w:t>.</w:t>
      </w:r>
    </w:p>
    <w:p w14:paraId="50888F7D" w14:textId="4FA7C8B9" w:rsidR="0072130F" w:rsidRDefault="000E241D" w:rsidP="00857253">
      <w:pPr>
        <w:jc w:val="both"/>
        <w:divId w:val="984968649"/>
        <w:rPr>
          <w:rFonts w:ascii="Verdana" w:hAnsi="Verdana" w:cs="Arial"/>
          <w:bCs/>
          <w:sz w:val="20"/>
          <w:szCs w:val="20"/>
        </w:rPr>
      </w:pPr>
      <w:r>
        <w:rPr>
          <w:rFonts w:ascii="Verdana" w:hAnsi="Verdana" w:cs="Arial"/>
          <w:bCs/>
          <w:sz w:val="20"/>
          <w:szCs w:val="20"/>
        </w:rPr>
        <w:t xml:space="preserve">Para </w:t>
      </w:r>
      <w:r w:rsidR="00223961" w:rsidRPr="00857253">
        <w:rPr>
          <w:rFonts w:ascii="Verdana" w:hAnsi="Verdana" w:cs="Arial"/>
          <w:bCs/>
          <w:sz w:val="20"/>
          <w:szCs w:val="20"/>
        </w:rPr>
        <w:t xml:space="preserve">aplicar esta excepción, las entidades vigiladas deben adelantar, previo a la operación, un análisis de </w:t>
      </w:r>
      <w:r w:rsidR="006212B3">
        <w:rPr>
          <w:rFonts w:ascii="Verdana" w:hAnsi="Verdana" w:cs="Arial"/>
          <w:bCs/>
          <w:sz w:val="20"/>
          <w:szCs w:val="20"/>
        </w:rPr>
        <w:t xml:space="preserve">la </w:t>
      </w:r>
      <w:r w:rsidR="00223961" w:rsidRPr="00857253">
        <w:rPr>
          <w:rFonts w:ascii="Verdana" w:hAnsi="Verdana" w:cs="Arial"/>
          <w:bCs/>
          <w:sz w:val="20"/>
          <w:szCs w:val="20"/>
        </w:rPr>
        <w:t>autonomía administrativa y financiera</w:t>
      </w:r>
      <w:r w:rsidR="006212B3">
        <w:rPr>
          <w:rFonts w:ascii="Verdana" w:hAnsi="Verdana" w:cs="Arial"/>
          <w:bCs/>
          <w:sz w:val="20"/>
          <w:szCs w:val="20"/>
        </w:rPr>
        <w:t xml:space="preserve"> de la entidad</w:t>
      </w:r>
      <w:r w:rsidR="00223961" w:rsidRPr="00857253">
        <w:rPr>
          <w:rFonts w:ascii="Verdana" w:hAnsi="Verdana" w:cs="Arial"/>
          <w:bCs/>
          <w:sz w:val="20"/>
          <w:szCs w:val="20"/>
        </w:rPr>
        <w:t xml:space="preserve">, teniendo en cuenta la normatividad aplicable y la naturaleza económica de los ingresos de los correspondientes entes territoriales y entidades descentralizadas, entre otros. Dicho análisis debe documentarse y mantenerse a disposición de esta Superintendencia. </w:t>
      </w:r>
    </w:p>
    <w:p w14:paraId="20028A2B" w14:textId="7944F992" w:rsidR="00CF1B34" w:rsidRPr="004046FE" w:rsidRDefault="009374F2" w:rsidP="00DB135E">
      <w:pPr>
        <w:spacing w:after="0" w:line="240" w:lineRule="auto"/>
        <w:jc w:val="both"/>
        <w:rPr>
          <w:rFonts w:ascii="Verdana" w:hAnsi="Verdana" w:cs="Arial"/>
          <w:b/>
          <w:sz w:val="20"/>
          <w:szCs w:val="20"/>
        </w:rPr>
      </w:pPr>
      <w:r w:rsidRPr="004046FE">
        <w:rPr>
          <w:rFonts w:ascii="Verdana" w:hAnsi="Verdana" w:cs="Arial"/>
          <w:b/>
          <w:sz w:val="20"/>
          <w:szCs w:val="20"/>
        </w:rPr>
        <w:t>EXPOSICIONES COMPUTABLES</w:t>
      </w:r>
    </w:p>
    <w:p w14:paraId="21F4989C" w14:textId="77777777" w:rsidR="009374F2" w:rsidRDefault="009374F2" w:rsidP="00DB135E">
      <w:pPr>
        <w:tabs>
          <w:tab w:val="left" w:pos="540"/>
        </w:tabs>
        <w:spacing w:after="0" w:line="240" w:lineRule="auto"/>
        <w:jc w:val="both"/>
        <w:rPr>
          <w:rFonts w:ascii="Verdana" w:hAnsi="Verdana" w:cs="Arial"/>
          <w:b/>
          <w:sz w:val="20"/>
          <w:szCs w:val="20"/>
        </w:rPr>
      </w:pPr>
    </w:p>
    <w:p w14:paraId="436A5D77" w14:textId="21F47F12" w:rsidR="00DB135E" w:rsidRDefault="00DB135E" w:rsidP="00DB135E">
      <w:pPr>
        <w:tabs>
          <w:tab w:val="left" w:pos="540"/>
        </w:tabs>
        <w:spacing w:after="0" w:line="240" w:lineRule="auto"/>
        <w:jc w:val="both"/>
        <w:rPr>
          <w:rFonts w:ascii="Verdana" w:hAnsi="Verdana" w:cs="Arial"/>
          <w:bCs/>
          <w:sz w:val="20"/>
          <w:szCs w:val="20"/>
        </w:rPr>
      </w:pPr>
      <w:r>
        <w:rPr>
          <w:rFonts w:ascii="Verdana" w:hAnsi="Verdana" w:cs="Arial"/>
          <w:bCs/>
          <w:sz w:val="20"/>
          <w:szCs w:val="20"/>
        </w:rPr>
        <w:t>2.10.2.</w:t>
      </w:r>
      <w:r w:rsidR="00EE38EC">
        <w:rPr>
          <w:rFonts w:ascii="Verdana" w:hAnsi="Verdana" w:cs="Arial"/>
          <w:bCs/>
          <w:sz w:val="20"/>
          <w:szCs w:val="20"/>
        </w:rPr>
        <w:t>3</w:t>
      </w:r>
      <w:r w:rsidR="004552C9">
        <w:rPr>
          <w:rFonts w:ascii="Verdana" w:hAnsi="Verdana" w:cs="Arial"/>
          <w:bCs/>
          <w:sz w:val="20"/>
          <w:szCs w:val="20"/>
        </w:rPr>
        <w:t>1</w:t>
      </w:r>
      <w:r>
        <w:rPr>
          <w:rFonts w:ascii="Verdana" w:hAnsi="Verdana" w:cs="Arial"/>
          <w:bCs/>
          <w:sz w:val="20"/>
          <w:szCs w:val="20"/>
        </w:rPr>
        <w:t>.</w:t>
      </w:r>
    </w:p>
    <w:p w14:paraId="43DB93CB" w14:textId="22316D4D" w:rsidR="00CF1B34" w:rsidRPr="00897CE6" w:rsidRDefault="00CF1B34" w:rsidP="00CF1B34">
      <w:pPr>
        <w:jc w:val="both"/>
        <w:rPr>
          <w:rFonts w:ascii="Verdana" w:hAnsi="Verdana" w:cs="Arial"/>
          <w:sz w:val="20"/>
          <w:szCs w:val="20"/>
        </w:rPr>
      </w:pPr>
      <w:r w:rsidRPr="00897CE6">
        <w:rPr>
          <w:rFonts w:ascii="Verdana" w:hAnsi="Verdana" w:cs="Arial"/>
          <w:bCs/>
          <w:sz w:val="20"/>
          <w:szCs w:val="20"/>
        </w:rPr>
        <w:t xml:space="preserve">De conformidad con lo previsto en el artículo 2.1.2.1.3 del Decreto 2555 de 2010, para efectos de controlar sus exposiciones con una misma contraparte o grupo conectado de contrapartes, las entidades deben computar todos los activos, </w:t>
      </w:r>
      <w:r w:rsidRPr="00892F03">
        <w:rPr>
          <w:rFonts w:ascii="Verdana" w:hAnsi="Verdana" w:cs="Arial"/>
          <w:bCs/>
          <w:sz w:val="20"/>
          <w:szCs w:val="20"/>
        </w:rPr>
        <w:t>exposiciones</w:t>
      </w:r>
      <w:r w:rsidRPr="003E40E1">
        <w:rPr>
          <w:rFonts w:ascii="Verdana" w:hAnsi="Verdana" w:cs="Arial"/>
          <w:bCs/>
          <w:sz w:val="20"/>
          <w:szCs w:val="20"/>
        </w:rPr>
        <w:t>, garantías</w:t>
      </w:r>
      <w:r w:rsidRPr="00892F03">
        <w:rPr>
          <w:rFonts w:ascii="Verdana" w:hAnsi="Verdana" w:cs="Arial"/>
          <w:bCs/>
          <w:sz w:val="20"/>
          <w:szCs w:val="20"/>
        </w:rPr>
        <w:t xml:space="preserve"> y contingencias </w:t>
      </w:r>
      <w:r w:rsidRPr="003E40E1">
        <w:rPr>
          <w:rFonts w:ascii="Verdana" w:hAnsi="Verdana" w:cs="Arial"/>
          <w:bCs/>
          <w:sz w:val="20"/>
          <w:szCs w:val="20"/>
        </w:rPr>
        <w:t>que computan en el cálculo de los activos ponderados por nivel de riesgo crediticio</w:t>
      </w:r>
      <w:r w:rsidRPr="00892F03">
        <w:rPr>
          <w:rFonts w:ascii="Verdana" w:hAnsi="Verdana" w:cs="Arial"/>
          <w:bCs/>
          <w:sz w:val="20"/>
          <w:szCs w:val="20"/>
        </w:rPr>
        <w:t xml:space="preserve">, señalados en </w:t>
      </w:r>
      <w:r w:rsidRPr="00892F03">
        <w:rPr>
          <w:rFonts w:ascii="Verdana" w:hAnsi="Verdana" w:cs="Arial"/>
          <w:sz w:val="20"/>
          <w:szCs w:val="20"/>
        </w:rPr>
        <w:t xml:space="preserve">la proforma </w:t>
      </w:r>
      <w:r w:rsidR="002F284E" w:rsidRPr="00892F03">
        <w:rPr>
          <w:rFonts w:ascii="Verdana" w:hAnsi="Verdana" w:cs="Arial"/>
          <w:sz w:val="20"/>
          <w:szCs w:val="20"/>
        </w:rPr>
        <w:t>definida por la SFC</w:t>
      </w:r>
      <w:r w:rsidRPr="00892F03">
        <w:rPr>
          <w:rFonts w:ascii="Verdana" w:hAnsi="Verdana" w:cs="Arial"/>
          <w:sz w:val="20"/>
          <w:szCs w:val="20"/>
        </w:rPr>
        <w:t xml:space="preserve">. </w:t>
      </w:r>
      <w:bookmarkStart w:id="1" w:name="_Hlk147941588"/>
      <w:r w:rsidRPr="00892F03">
        <w:rPr>
          <w:rFonts w:ascii="Verdana" w:hAnsi="Verdana" w:cs="Arial"/>
          <w:sz w:val="20"/>
          <w:szCs w:val="20"/>
        </w:rPr>
        <w:t>En este sentido, según lo</w:t>
      </w:r>
      <w:r w:rsidRPr="00897CE6">
        <w:rPr>
          <w:rFonts w:ascii="Verdana" w:hAnsi="Verdana" w:cs="Arial"/>
          <w:sz w:val="20"/>
          <w:szCs w:val="20"/>
        </w:rPr>
        <w:t xml:space="preserve"> señalado en</w:t>
      </w:r>
      <w:r w:rsidR="00D507F6">
        <w:rPr>
          <w:rFonts w:ascii="Verdana" w:hAnsi="Verdana" w:cs="Arial"/>
          <w:sz w:val="20"/>
          <w:szCs w:val="20"/>
        </w:rPr>
        <w:t>tre los párrafos 2.10.2.1. y 2.10.2.3.</w:t>
      </w:r>
      <w:r w:rsidRPr="00897CE6">
        <w:rPr>
          <w:rFonts w:ascii="Verdana" w:hAnsi="Verdana" w:cs="Arial"/>
          <w:sz w:val="20"/>
          <w:szCs w:val="20"/>
        </w:rPr>
        <w:t xml:space="preserve">, se entiende por exposiciones todo el conjunto de </w:t>
      </w:r>
      <w:r w:rsidRPr="00897CE6">
        <w:rPr>
          <w:rFonts w:ascii="Verdana" w:hAnsi="Verdana" w:cs="Arial"/>
          <w:bCs/>
          <w:sz w:val="20"/>
          <w:szCs w:val="20"/>
        </w:rPr>
        <w:t xml:space="preserve">activos, exposiciones, contingencias y garantías sujetas a las reglas del Decreto </w:t>
      </w:r>
      <w:r w:rsidR="00241783" w:rsidRPr="221AB16D">
        <w:rPr>
          <w:rFonts w:ascii="Verdana" w:hAnsi="Verdana" w:cs="Arial"/>
          <w:sz w:val="20"/>
          <w:szCs w:val="20"/>
        </w:rPr>
        <w:t xml:space="preserve">el Decreto 2555 de 2010, modificado por el </w:t>
      </w:r>
      <w:r w:rsidRPr="00897CE6">
        <w:rPr>
          <w:rFonts w:ascii="Verdana" w:hAnsi="Verdana" w:cs="Arial"/>
          <w:bCs/>
          <w:sz w:val="20"/>
          <w:szCs w:val="20"/>
        </w:rPr>
        <w:t xml:space="preserve">1533 de 2022 </w:t>
      </w:r>
      <w:r w:rsidR="00241783">
        <w:rPr>
          <w:rFonts w:ascii="Verdana" w:hAnsi="Verdana" w:cs="Arial"/>
          <w:sz w:val="20"/>
          <w:szCs w:val="20"/>
        </w:rPr>
        <w:t>y demás normas que lo</w:t>
      </w:r>
      <w:r w:rsidR="000633A9">
        <w:rPr>
          <w:rFonts w:ascii="Verdana" w:hAnsi="Verdana" w:cs="Arial"/>
          <w:sz w:val="20"/>
          <w:szCs w:val="20"/>
        </w:rPr>
        <w:t>s</w:t>
      </w:r>
      <w:r w:rsidR="00241783">
        <w:rPr>
          <w:rFonts w:ascii="Verdana" w:hAnsi="Verdana" w:cs="Arial"/>
          <w:sz w:val="20"/>
          <w:szCs w:val="20"/>
        </w:rPr>
        <w:t xml:space="preserve"> </w:t>
      </w:r>
      <w:r w:rsidR="00241783" w:rsidRPr="2A78066E">
        <w:rPr>
          <w:rFonts w:ascii="Verdana" w:hAnsi="Verdana" w:cs="Arial"/>
          <w:sz w:val="20"/>
          <w:szCs w:val="20"/>
        </w:rPr>
        <w:t>modifiquen, sustituyan o adicionen</w:t>
      </w:r>
      <w:r w:rsidR="00241783" w:rsidRPr="00897CE6">
        <w:rPr>
          <w:rFonts w:ascii="Verdana" w:hAnsi="Verdana" w:cs="Arial"/>
          <w:bCs/>
          <w:sz w:val="20"/>
          <w:szCs w:val="20"/>
        </w:rPr>
        <w:t xml:space="preserve"> </w:t>
      </w:r>
      <w:r w:rsidRPr="00897CE6">
        <w:rPr>
          <w:rFonts w:ascii="Verdana" w:hAnsi="Verdana" w:cs="Arial"/>
          <w:bCs/>
          <w:sz w:val="20"/>
          <w:szCs w:val="20"/>
        </w:rPr>
        <w:t>y a las instrucciones del presente capítulo.</w:t>
      </w:r>
      <w:bookmarkEnd w:id="1"/>
    </w:p>
    <w:p w14:paraId="06CF56FE" w14:textId="13FACC87" w:rsidR="001B7405" w:rsidRDefault="001B7405" w:rsidP="001B7405">
      <w:pPr>
        <w:tabs>
          <w:tab w:val="left" w:pos="540"/>
        </w:tabs>
        <w:spacing w:after="0" w:line="240" w:lineRule="auto"/>
        <w:jc w:val="both"/>
        <w:rPr>
          <w:rFonts w:ascii="Verdana" w:hAnsi="Verdana" w:cs="Arial"/>
          <w:bCs/>
          <w:sz w:val="20"/>
          <w:szCs w:val="20"/>
        </w:rPr>
      </w:pPr>
      <w:r>
        <w:rPr>
          <w:rFonts w:ascii="Verdana" w:hAnsi="Verdana" w:cs="Arial"/>
          <w:bCs/>
          <w:sz w:val="20"/>
          <w:szCs w:val="20"/>
        </w:rPr>
        <w:t>2.10.2.</w:t>
      </w:r>
      <w:r w:rsidR="00EE38EC">
        <w:rPr>
          <w:rFonts w:ascii="Verdana" w:hAnsi="Verdana" w:cs="Arial"/>
          <w:bCs/>
          <w:sz w:val="20"/>
          <w:szCs w:val="20"/>
        </w:rPr>
        <w:t>3</w:t>
      </w:r>
      <w:r w:rsidR="004552C9">
        <w:rPr>
          <w:rFonts w:ascii="Verdana" w:hAnsi="Verdana" w:cs="Arial"/>
          <w:bCs/>
          <w:sz w:val="20"/>
          <w:szCs w:val="20"/>
        </w:rPr>
        <w:t>2</w:t>
      </w:r>
      <w:r>
        <w:rPr>
          <w:rFonts w:ascii="Verdana" w:hAnsi="Verdana" w:cs="Arial"/>
          <w:bCs/>
          <w:sz w:val="20"/>
          <w:szCs w:val="20"/>
        </w:rPr>
        <w:t>.</w:t>
      </w:r>
    </w:p>
    <w:p w14:paraId="74D8F5BE" w14:textId="2375F8D4" w:rsidR="00CF1B34" w:rsidRPr="00897CE6" w:rsidRDefault="00CF1B34" w:rsidP="2A78066E">
      <w:pPr>
        <w:jc w:val="both"/>
        <w:rPr>
          <w:rFonts w:ascii="Verdana" w:hAnsi="Verdana" w:cs="Arial"/>
          <w:sz w:val="20"/>
          <w:szCs w:val="20"/>
        </w:rPr>
      </w:pPr>
      <w:r w:rsidRPr="2A78066E">
        <w:rPr>
          <w:rFonts w:ascii="Verdana" w:hAnsi="Verdana" w:cs="Arial"/>
          <w:sz w:val="20"/>
          <w:szCs w:val="20"/>
        </w:rPr>
        <w:t>De acuerdo con lo dispuesto en el parágrafo del artículo 2.1.2.1.3 del Decreto 2555 de 2010, cuando el valor de una exposición sea mitigado por concepto de una garantía idónea para efectos de grandes exposiciones, el valor de la correspondiente garantía computará como una exposición respecto de quien actúa como garante. En el caso de las exposiciones en instrumentos financieros derivados, las garantías del instrumento que hacen parte del cálculo de la exposición crediticia en los términos</w:t>
      </w:r>
      <w:r w:rsidR="00D93E56">
        <w:rPr>
          <w:rFonts w:ascii="Verdana" w:hAnsi="Verdana" w:cs="Arial"/>
          <w:sz w:val="20"/>
          <w:szCs w:val="20"/>
        </w:rPr>
        <w:t xml:space="preserve"> del capítulo 5 de la parte 3 de la </w:t>
      </w:r>
      <w:r w:rsidR="00F32ACD">
        <w:rPr>
          <w:rFonts w:ascii="Verdana" w:hAnsi="Verdana" w:cs="Arial"/>
          <w:bCs/>
          <w:sz w:val="20"/>
          <w:szCs w:val="20"/>
        </w:rPr>
        <w:t>CBF</w:t>
      </w:r>
      <w:r w:rsidRPr="2A78066E">
        <w:rPr>
          <w:rFonts w:ascii="Verdana" w:hAnsi="Verdana" w:cs="Arial"/>
          <w:sz w:val="20"/>
          <w:szCs w:val="20"/>
        </w:rPr>
        <w:t>, también se consideran como una exposición respecto de quien actúa como garante.</w:t>
      </w:r>
    </w:p>
    <w:p w14:paraId="274E17CB" w14:textId="4E3C40CD" w:rsidR="00D75E82" w:rsidRDefault="00D75E82" w:rsidP="00D75E82">
      <w:pPr>
        <w:tabs>
          <w:tab w:val="left" w:pos="540"/>
        </w:tabs>
        <w:spacing w:after="0" w:line="240" w:lineRule="auto"/>
        <w:jc w:val="both"/>
        <w:rPr>
          <w:rFonts w:ascii="Verdana" w:hAnsi="Verdana" w:cs="Arial"/>
          <w:bCs/>
          <w:sz w:val="20"/>
          <w:szCs w:val="20"/>
        </w:rPr>
      </w:pPr>
      <w:r>
        <w:rPr>
          <w:rFonts w:ascii="Verdana" w:hAnsi="Verdana" w:cs="Arial"/>
          <w:bCs/>
          <w:sz w:val="20"/>
          <w:szCs w:val="20"/>
        </w:rPr>
        <w:t>2.10.2.</w:t>
      </w:r>
      <w:r w:rsidR="00EE38EC">
        <w:rPr>
          <w:rFonts w:ascii="Verdana" w:hAnsi="Verdana" w:cs="Arial"/>
          <w:bCs/>
          <w:sz w:val="20"/>
          <w:szCs w:val="20"/>
        </w:rPr>
        <w:t>3</w:t>
      </w:r>
      <w:r w:rsidR="000266C0">
        <w:rPr>
          <w:rFonts w:ascii="Verdana" w:hAnsi="Verdana" w:cs="Arial"/>
          <w:bCs/>
          <w:sz w:val="20"/>
          <w:szCs w:val="20"/>
        </w:rPr>
        <w:t>3</w:t>
      </w:r>
      <w:r>
        <w:rPr>
          <w:rFonts w:ascii="Verdana" w:hAnsi="Verdana" w:cs="Arial"/>
          <w:bCs/>
          <w:sz w:val="20"/>
          <w:szCs w:val="20"/>
        </w:rPr>
        <w:t>.</w:t>
      </w:r>
    </w:p>
    <w:p w14:paraId="531FE53D" w14:textId="0B12FFB9" w:rsidR="00CF1B34" w:rsidRPr="00897CE6" w:rsidRDefault="00CF1B34" w:rsidP="00CF1B34">
      <w:pPr>
        <w:jc w:val="both"/>
        <w:rPr>
          <w:rFonts w:ascii="Verdana" w:hAnsi="Verdana" w:cs="Arial"/>
          <w:bCs/>
          <w:sz w:val="20"/>
          <w:szCs w:val="20"/>
        </w:rPr>
      </w:pPr>
      <w:r w:rsidRPr="00897CE6">
        <w:rPr>
          <w:rFonts w:ascii="Verdana" w:hAnsi="Verdana" w:cs="Arial"/>
          <w:bCs/>
          <w:sz w:val="20"/>
          <w:szCs w:val="20"/>
        </w:rPr>
        <w:t xml:space="preserve">Así mismo, en las exposiciones cubiertas mediante derivados de crédito es necesario reconocer el respectivo instrumento financiero derivado como una exposición </w:t>
      </w:r>
      <w:r w:rsidRPr="0028459F">
        <w:rPr>
          <w:rFonts w:ascii="Verdana" w:hAnsi="Verdana" w:cs="Arial"/>
          <w:bCs/>
          <w:sz w:val="20"/>
          <w:szCs w:val="20"/>
        </w:rPr>
        <w:t>computable adicional respecto del proveedor de cobertura, de acuerdo con l</w:t>
      </w:r>
      <w:r w:rsidR="00D26702">
        <w:rPr>
          <w:rFonts w:ascii="Verdana" w:hAnsi="Verdana" w:cs="Arial"/>
          <w:bCs/>
          <w:sz w:val="20"/>
          <w:szCs w:val="20"/>
        </w:rPr>
        <w:t xml:space="preserve">as instrucciones </w:t>
      </w:r>
      <w:r w:rsidR="0028459F">
        <w:rPr>
          <w:rFonts w:ascii="Verdana" w:hAnsi="Verdana" w:cs="Arial"/>
          <w:bCs/>
          <w:sz w:val="20"/>
          <w:szCs w:val="20"/>
        </w:rPr>
        <w:t>del presente capítulo.</w:t>
      </w:r>
    </w:p>
    <w:p w14:paraId="306A2B3A" w14:textId="3B901C41" w:rsidR="00D75E82" w:rsidRDefault="00D75E82" w:rsidP="00D75E82">
      <w:pPr>
        <w:tabs>
          <w:tab w:val="left" w:pos="540"/>
        </w:tabs>
        <w:spacing w:after="0" w:line="240" w:lineRule="auto"/>
        <w:jc w:val="both"/>
        <w:rPr>
          <w:rFonts w:ascii="Verdana" w:hAnsi="Verdana" w:cs="Arial"/>
          <w:bCs/>
          <w:sz w:val="20"/>
          <w:szCs w:val="20"/>
        </w:rPr>
      </w:pPr>
      <w:r>
        <w:rPr>
          <w:rFonts w:ascii="Verdana" w:hAnsi="Verdana" w:cs="Arial"/>
          <w:bCs/>
          <w:sz w:val="20"/>
          <w:szCs w:val="20"/>
        </w:rPr>
        <w:t>2.10.2.3</w:t>
      </w:r>
      <w:r w:rsidR="000266C0">
        <w:rPr>
          <w:rFonts w:ascii="Verdana" w:hAnsi="Verdana" w:cs="Arial"/>
          <w:bCs/>
          <w:sz w:val="20"/>
          <w:szCs w:val="20"/>
        </w:rPr>
        <w:t>4</w:t>
      </w:r>
      <w:r>
        <w:rPr>
          <w:rFonts w:ascii="Verdana" w:hAnsi="Verdana" w:cs="Arial"/>
          <w:bCs/>
          <w:sz w:val="20"/>
          <w:szCs w:val="20"/>
        </w:rPr>
        <w:t>.</w:t>
      </w:r>
    </w:p>
    <w:p w14:paraId="626972B2" w14:textId="77777777" w:rsidR="00CF1B34" w:rsidRPr="00897CE6" w:rsidRDefault="00CF1B34" w:rsidP="2A78066E">
      <w:pPr>
        <w:jc w:val="both"/>
        <w:rPr>
          <w:rFonts w:ascii="Verdana" w:hAnsi="Verdana" w:cs="Arial"/>
          <w:sz w:val="20"/>
          <w:szCs w:val="20"/>
        </w:rPr>
      </w:pPr>
      <w:r w:rsidRPr="2A78066E">
        <w:rPr>
          <w:rFonts w:ascii="Verdana" w:hAnsi="Verdana" w:cs="Arial"/>
          <w:sz w:val="20"/>
          <w:szCs w:val="20"/>
        </w:rPr>
        <w:t xml:space="preserve">En el caso de las operaciones de </w:t>
      </w:r>
      <w:r w:rsidRPr="2A78066E">
        <w:rPr>
          <w:rFonts w:ascii="Verdana" w:hAnsi="Verdana" w:cs="Arial"/>
          <w:i/>
          <w:iCs/>
          <w:sz w:val="20"/>
          <w:szCs w:val="20"/>
        </w:rPr>
        <w:t>factoring</w:t>
      </w:r>
      <w:r w:rsidRPr="2A78066E">
        <w:rPr>
          <w:rFonts w:ascii="Verdana" w:hAnsi="Verdana" w:cs="Arial"/>
          <w:sz w:val="20"/>
          <w:szCs w:val="20"/>
        </w:rPr>
        <w:t xml:space="preserve">, descuento y demás equivalentes sin recurso, se considera que existe una exposición computable respecto del deudor. </w:t>
      </w:r>
    </w:p>
    <w:p w14:paraId="0AE967DC" w14:textId="65E67C70" w:rsidR="001B7405" w:rsidRDefault="001B7405" w:rsidP="001B7405">
      <w:pPr>
        <w:tabs>
          <w:tab w:val="left" w:pos="540"/>
        </w:tabs>
        <w:spacing w:after="0" w:line="240" w:lineRule="auto"/>
        <w:jc w:val="both"/>
        <w:rPr>
          <w:rFonts w:ascii="Verdana" w:hAnsi="Verdana" w:cs="Arial"/>
          <w:bCs/>
          <w:sz w:val="20"/>
          <w:szCs w:val="20"/>
        </w:rPr>
      </w:pPr>
      <w:r>
        <w:rPr>
          <w:rFonts w:ascii="Verdana" w:hAnsi="Verdana" w:cs="Arial"/>
          <w:bCs/>
          <w:sz w:val="20"/>
          <w:szCs w:val="20"/>
        </w:rPr>
        <w:t>2.10.2.3</w:t>
      </w:r>
      <w:r w:rsidR="000266C0">
        <w:rPr>
          <w:rFonts w:ascii="Verdana" w:hAnsi="Verdana" w:cs="Arial"/>
          <w:bCs/>
          <w:sz w:val="20"/>
          <w:szCs w:val="20"/>
        </w:rPr>
        <w:t>5</w:t>
      </w:r>
      <w:r>
        <w:rPr>
          <w:rFonts w:ascii="Verdana" w:hAnsi="Verdana" w:cs="Arial"/>
          <w:bCs/>
          <w:sz w:val="20"/>
          <w:szCs w:val="20"/>
        </w:rPr>
        <w:t>.</w:t>
      </w:r>
    </w:p>
    <w:p w14:paraId="02A7B2CA" w14:textId="77777777" w:rsidR="00CF1B34" w:rsidRPr="00897CE6" w:rsidRDefault="00CF1B34" w:rsidP="2A78066E">
      <w:pPr>
        <w:jc w:val="both"/>
        <w:rPr>
          <w:rFonts w:ascii="Verdana" w:hAnsi="Verdana" w:cs="Arial"/>
          <w:sz w:val="20"/>
          <w:szCs w:val="20"/>
        </w:rPr>
      </w:pPr>
      <w:r w:rsidRPr="2A78066E">
        <w:rPr>
          <w:rFonts w:ascii="Verdana" w:hAnsi="Verdana" w:cs="Arial"/>
          <w:sz w:val="20"/>
          <w:szCs w:val="20"/>
        </w:rPr>
        <w:t xml:space="preserve">Por su parte, en el </w:t>
      </w:r>
      <w:r w:rsidRPr="2A78066E">
        <w:rPr>
          <w:rFonts w:ascii="Verdana" w:hAnsi="Verdana" w:cs="Arial"/>
          <w:i/>
          <w:iCs/>
          <w:sz w:val="20"/>
          <w:szCs w:val="20"/>
        </w:rPr>
        <w:t>factoring</w:t>
      </w:r>
      <w:r w:rsidRPr="2A78066E">
        <w:rPr>
          <w:rFonts w:ascii="Verdana" w:hAnsi="Verdana" w:cs="Arial"/>
          <w:sz w:val="20"/>
          <w:szCs w:val="20"/>
        </w:rPr>
        <w:t xml:space="preserve">, compras de cartera con responsabilidad, descuento y demás equivalentes con recurso, el factor debe considerar que existe una exposición computable respecto del cedente responsable por el valor total de la operación. </w:t>
      </w:r>
      <w:r w:rsidRPr="2A78066E">
        <w:rPr>
          <w:rFonts w:ascii="Verdana" w:hAnsi="Verdana" w:cs="Arial"/>
          <w:sz w:val="20"/>
          <w:szCs w:val="20"/>
        </w:rPr>
        <w:lastRenderedPageBreak/>
        <w:t xml:space="preserve">Adicionalmente, debe considerarse que existe una exposición frente al deudor por un valor que permita reconocer la probabilidad de que el cedente incumpla su obligación bajo la cláusula de responsabilidad del cedente y deba cobrarse la obligación directamente al deudor. </w:t>
      </w:r>
    </w:p>
    <w:p w14:paraId="26583F28" w14:textId="7E49C56A" w:rsidR="00CF1B34" w:rsidRPr="009374F2" w:rsidRDefault="00CF1B34" w:rsidP="009374F2">
      <w:pPr>
        <w:spacing w:after="0" w:line="240" w:lineRule="auto"/>
        <w:jc w:val="both"/>
        <w:rPr>
          <w:rFonts w:ascii="Verdana" w:hAnsi="Verdana" w:cs="Arial"/>
          <w:b/>
          <w:bCs/>
          <w:sz w:val="20"/>
          <w:szCs w:val="20"/>
        </w:rPr>
      </w:pPr>
      <w:r w:rsidRPr="009374F2">
        <w:rPr>
          <w:rFonts w:ascii="Verdana" w:hAnsi="Verdana" w:cs="Arial"/>
          <w:b/>
          <w:bCs/>
          <w:sz w:val="20"/>
          <w:szCs w:val="20"/>
        </w:rPr>
        <w:t>Exposiciones excluidas</w:t>
      </w:r>
    </w:p>
    <w:p w14:paraId="09304779" w14:textId="77777777" w:rsidR="009374F2" w:rsidRDefault="009374F2" w:rsidP="001B7405">
      <w:pPr>
        <w:tabs>
          <w:tab w:val="left" w:pos="540"/>
        </w:tabs>
        <w:spacing w:after="0" w:line="240" w:lineRule="auto"/>
        <w:jc w:val="both"/>
        <w:rPr>
          <w:rFonts w:ascii="Verdana" w:hAnsi="Verdana" w:cs="Arial"/>
          <w:bCs/>
          <w:sz w:val="20"/>
          <w:szCs w:val="20"/>
        </w:rPr>
      </w:pPr>
    </w:p>
    <w:p w14:paraId="0A02B06C" w14:textId="7A66DAE7" w:rsidR="001B7405" w:rsidRDefault="001B7405" w:rsidP="001B7405">
      <w:pPr>
        <w:tabs>
          <w:tab w:val="left" w:pos="540"/>
        </w:tabs>
        <w:spacing w:after="0" w:line="240" w:lineRule="auto"/>
        <w:jc w:val="both"/>
        <w:rPr>
          <w:rFonts w:ascii="Verdana" w:hAnsi="Verdana" w:cs="Arial"/>
          <w:bCs/>
          <w:sz w:val="20"/>
          <w:szCs w:val="20"/>
        </w:rPr>
      </w:pPr>
      <w:r>
        <w:rPr>
          <w:rFonts w:ascii="Verdana" w:hAnsi="Verdana" w:cs="Arial"/>
          <w:bCs/>
          <w:sz w:val="20"/>
          <w:szCs w:val="20"/>
        </w:rPr>
        <w:t>2.10.2.3</w:t>
      </w:r>
      <w:r w:rsidR="00283F7F">
        <w:rPr>
          <w:rFonts w:ascii="Verdana" w:hAnsi="Verdana" w:cs="Arial"/>
          <w:bCs/>
          <w:sz w:val="20"/>
          <w:szCs w:val="20"/>
        </w:rPr>
        <w:t>6</w:t>
      </w:r>
      <w:r>
        <w:rPr>
          <w:rFonts w:ascii="Verdana" w:hAnsi="Verdana" w:cs="Arial"/>
          <w:bCs/>
          <w:sz w:val="20"/>
          <w:szCs w:val="20"/>
        </w:rPr>
        <w:t>.</w:t>
      </w:r>
    </w:p>
    <w:p w14:paraId="227BB84D" w14:textId="2D9B17D6" w:rsidR="00CF1B34" w:rsidRPr="00897CE6" w:rsidRDefault="00CF1B34" w:rsidP="2A78066E">
      <w:pPr>
        <w:jc w:val="both"/>
        <w:rPr>
          <w:rFonts w:ascii="Verdana" w:hAnsi="Verdana" w:cs="Arial"/>
          <w:sz w:val="20"/>
          <w:szCs w:val="20"/>
        </w:rPr>
      </w:pPr>
      <w:r w:rsidRPr="2A78066E">
        <w:rPr>
          <w:rFonts w:ascii="Verdana" w:hAnsi="Verdana" w:cs="Arial"/>
          <w:sz w:val="20"/>
          <w:szCs w:val="20"/>
        </w:rPr>
        <w:t>Sin perjuicio de lo señalado en el numeral anterior y, únicamente para efectos de controlar los límites de que tratan los artículos 2.1.2.1.10 y 2.1.2.1.12 del Decreto 2555 de 2010, las entidades deben excluir del cómputo de las grandes exposiciones y concentración de riesgos las operaciones previstas en el artículo 2.1.2.1.4 del Decreto 2555 de 2010 y en las normas que lo sustituyan, adicionen o modifiquen.</w:t>
      </w:r>
    </w:p>
    <w:p w14:paraId="6C74C352" w14:textId="2302BCBC" w:rsidR="001B7405" w:rsidRDefault="001B7405" w:rsidP="001B7405">
      <w:pPr>
        <w:tabs>
          <w:tab w:val="left" w:pos="540"/>
        </w:tabs>
        <w:spacing w:after="0" w:line="240" w:lineRule="auto"/>
        <w:jc w:val="both"/>
        <w:rPr>
          <w:rFonts w:ascii="Verdana" w:hAnsi="Verdana" w:cs="Arial"/>
          <w:bCs/>
          <w:sz w:val="20"/>
          <w:szCs w:val="20"/>
        </w:rPr>
      </w:pPr>
      <w:r>
        <w:rPr>
          <w:rFonts w:ascii="Verdana" w:hAnsi="Verdana" w:cs="Arial"/>
          <w:bCs/>
          <w:sz w:val="20"/>
          <w:szCs w:val="20"/>
        </w:rPr>
        <w:t>2.10.2.3</w:t>
      </w:r>
      <w:r w:rsidR="00283F7F">
        <w:rPr>
          <w:rFonts w:ascii="Verdana" w:hAnsi="Verdana" w:cs="Arial"/>
          <w:bCs/>
          <w:sz w:val="20"/>
          <w:szCs w:val="20"/>
        </w:rPr>
        <w:t>7</w:t>
      </w:r>
      <w:r>
        <w:rPr>
          <w:rFonts w:ascii="Verdana" w:hAnsi="Verdana" w:cs="Arial"/>
          <w:bCs/>
          <w:sz w:val="20"/>
          <w:szCs w:val="20"/>
        </w:rPr>
        <w:t>.</w:t>
      </w:r>
    </w:p>
    <w:p w14:paraId="3FE9D7F2" w14:textId="4A7362B3" w:rsidR="00CF1B34" w:rsidRPr="00897CE6" w:rsidRDefault="00CF1B34" w:rsidP="00CF1B34">
      <w:pPr>
        <w:jc w:val="both"/>
        <w:rPr>
          <w:rFonts w:ascii="Verdana" w:hAnsi="Verdana" w:cs="Arial"/>
          <w:sz w:val="20"/>
          <w:szCs w:val="20"/>
        </w:rPr>
      </w:pPr>
      <w:r w:rsidRPr="00897CE6">
        <w:rPr>
          <w:rFonts w:ascii="Verdana" w:hAnsi="Verdana" w:cs="Arial"/>
          <w:sz w:val="20"/>
          <w:szCs w:val="20"/>
        </w:rPr>
        <w:t xml:space="preserve">En el caso de la excepción prevista en el numeral 6 del artículo 2.1.2.1.4 del Decreto 2555 de 2010, se consideran exposiciones excluidas únicamente las operaciones aceptadas para su compensación y liquidación por una cámara de riesgo central de contraparte autorizada por la Superintendencia o por una entidad de contrapartida central reconocida en los </w:t>
      </w:r>
      <w:r w:rsidRPr="003E7CC6">
        <w:rPr>
          <w:rFonts w:ascii="Verdana" w:hAnsi="Verdana" w:cs="Arial"/>
          <w:sz w:val="20"/>
          <w:szCs w:val="20"/>
        </w:rPr>
        <w:t>términos del capítulo II del título II de la parte I de la C</w:t>
      </w:r>
      <w:r w:rsidR="00836463">
        <w:rPr>
          <w:rFonts w:ascii="Verdana" w:hAnsi="Verdana" w:cs="Arial"/>
          <w:sz w:val="20"/>
          <w:szCs w:val="20"/>
        </w:rPr>
        <w:t xml:space="preserve">ircular </w:t>
      </w:r>
      <w:r w:rsidRPr="003E7CC6">
        <w:rPr>
          <w:rFonts w:ascii="Verdana" w:hAnsi="Verdana" w:cs="Arial"/>
          <w:sz w:val="20"/>
          <w:szCs w:val="20"/>
        </w:rPr>
        <w:t>B</w:t>
      </w:r>
      <w:r w:rsidR="00836463">
        <w:rPr>
          <w:rFonts w:ascii="Verdana" w:hAnsi="Verdana" w:cs="Arial"/>
          <w:sz w:val="20"/>
          <w:szCs w:val="20"/>
        </w:rPr>
        <w:t xml:space="preserve">ásica </w:t>
      </w:r>
      <w:r w:rsidRPr="003E7CC6">
        <w:rPr>
          <w:rFonts w:ascii="Verdana" w:hAnsi="Verdana" w:cs="Arial"/>
          <w:sz w:val="20"/>
          <w:szCs w:val="20"/>
        </w:rPr>
        <w:t>J</w:t>
      </w:r>
      <w:r w:rsidR="00836463">
        <w:rPr>
          <w:rFonts w:ascii="Verdana" w:hAnsi="Verdana" w:cs="Arial"/>
          <w:sz w:val="20"/>
          <w:szCs w:val="20"/>
        </w:rPr>
        <w:t>urídica de la SFC</w:t>
      </w:r>
      <w:r w:rsidRPr="003E7CC6">
        <w:rPr>
          <w:rFonts w:ascii="Verdana" w:hAnsi="Verdana" w:cs="Arial"/>
          <w:sz w:val="20"/>
          <w:szCs w:val="20"/>
        </w:rPr>
        <w:t>.</w:t>
      </w:r>
      <w:r w:rsidRPr="00897CE6">
        <w:rPr>
          <w:rFonts w:ascii="Verdana" w:hAnsi="Verdana" w:cs="Arial"/>
          <w:sz w:val="20"/>
          <w:szCs w:val="20"/>
        </w:rPr>
        <w:t xml:space="preserve"> En este sentido, las exposiciones de las cámaras de riesgo y entidades de contrapartida actuando por cuenta e interés propio, y no en su condición de contrapartida central, se consideran operaciones computables para efectos del control y límite a las grandes exposiciones y concentración de riesgos. </w:t>
      </w:r>
    </w:p>
    <w:p w14:paraId="4422FAD9" w14:textId="55306A83" w:rsidR="001B7405" w:rsidRDefault="001B7405" w:rsidP="001B7405">
      <w:pPr>
        <w:tabs>
          <w:tab w:val="left" w:pos="540"/>
        </w:tabs>
        <w:spacing w:after="0" w:line="240" w:lineRule="auto"/>
        <w:jc w:val="both"/>
        <w:rPr>
          <w:rFonts w:ascii="Verdana" w:hAnsi="Verdana" w:cs="Arial"/>
          <w:bCs/>
          <w:sz w:val="20"/>
          <w:szCs w:val="20"/>
        </w:rPr>
      </w:pPr>
      <w:r>
        <w:rPr>
          <w:rFonts w:ascii="Verdana" w:hAnsi="Verdana" w:cs="Arial"/>
          <w:bCs/>
          <w:sz w:val="20"/>
          <w:szCs w:val="20"/>
        </w:rPr>
        <w:t>2.10.2.3</w:t>
      </w:r>
      <w:r w:rsidR="00283F7F">
        <w:rPr>
          <w:rFonts w:ascii="Verdana" w:hAnsi="Verdana" w:cs="Arial"/>
          <w:bCs/>
          <w:sz w:val="20"/>
          <w:szCs w:val="20"/>
        </w:rPr>
        <w:t>8</w:t>
      </w:r>
      <w:r>
        <w:rPr>
          <w:rFonts w:ascii="Verdana" w:hAnsi="Verdana" w:cs="Arial"/>
          <w:bCs/>
          <w:sz w:val="20"/>
          <w:szCs w:val="20"/>
        </w:rPr>
        <w:t>.</w:t>
      </w:r>
    </w:p>
    <w:p w14:paraId="03590222" w14:textId="6BB39592" w:rsidR="00CF1B34" w:rsidRPr="00897CE6" w:rsidRDefault="00CF1B34" w:rsidP="00CF1B34">
      <w:pPr>
        <w:jc w:val="both"/>
        <w:rPr>
          <w:rFonts w:ascii="Verdana" w:hAnsi="Verdana" w:cs="Arial"/>
          <w:sz w:val="20"/>
          <w:szCs w:val="20"/>
        </w:rPr>
      </w:pPr>
      <w:r w:rsidRPr="00897CE6">
        <w:rPr>
          <w:rFonts w:ascii="Verdana" w:hAnsi="Verdana" w:cs="Arial"/>
          <w:sz w:val="20"/>
          <w:szCs w:val="20"/>
        </w:rPr>
        <w:t xml:space="preserve">Igualmente, de acuerdo con lo señalado en el artículo 2.1.2.1.9 del Decreto 2555 de 2010, </w:t>
      </w:r>
      <w:r w:rsidRPr="00897CE6">
        <w:rPr>
          <w:rFonts w:ascii="Verdana" w:hAnsi="Verdana" w:cs="Arial"/>
          <w:bCs/>
          <w:sz w:val="20"/>
          <w:szCs w:val="20"/>
        </w:rPr>
        <w:t>las exposiciones para la financiación especializada de proyectos mencionadas en</w:t>
      </w:r>
      <w:r w:rsidR="004B4FD8">
        <w:rPr>
          <w:rFonts w:ascii="Verdana" w:hAnsi="Verdana" w:cs="Arial"/>
          <w:bCs/>
          <w:sz w:val="20"/>
          <w:szCs w:val="20"/>
        </w:rPr>
        <w:t xml:space="preserve"> los párrafos</w:t>
      </w:r>
      <w:r w:rsidRPr="00897CE6">
        <w:rPr>
          <w:rFonts w:ascii="Verdana" w:hAnsi="Verdana" w:cs="Arial"/>
          <w:bCs/>
          <w:sz w:val="20"/>
          <w:szCs w:val="20"/>
        </w:rPr>
        <w:t xml:space="preserve"> </w:t>
      </w:r>
      <w:r w:rsidR="005D5DD5">
        <w:rPr>
          <w:rFonts w:ascii="Verdana" w:hAnsi="Verdana" w:cs="Arial"/>
          <w:bCs/>
          <w:sz w:val="20"/>
          <w:szCs w:val="20"/>
        </w:rPr>
        <w:t>del 2.10.2.1</w:t>
      </w:r>
      <w:r w:rsidR="002B2AFF">
        <w:rPr>
          <w:rFonts w:ascii="Verdana" w:hAnsi="Verdana" w:cs="Arial"/>
          <w:bCs/>
          <w:sz w:val="20"/>
          <w:szCs w:val="20"/>
        </w:rPr>
        <w:t>8</w:t>
      </w:r>
      <w:r w:rsidR="005D5DD5">
        <w:rPr>
          <w:rFonts w:ascii="Verdana" w:hAnsi="Verdana" w:cs="Arial"/>
          <w:bCs/>
          <w:sz w:val="20"/>
          <w:szCs w:val="20"/>
        </w:rPr>
        <w:t>. a 2.10.2</w:t>
      </w:r>
      <w:r w:rsidR="00283F7F">
        <w:rPr>
          <w:rFonts w:ascii="Verdana" w:hAnsi="Verdana" w:cs="Arial"/>
          <w:bCs/>
          <w:sz w:val="20"/>
          <w:szCs w:val="20"/>
        </w:rPr>
        <w:t>.</w:t>
      </w:r>
      <w:r w:rsidR="005D5DD5">
        <w:rPr>
          <w:rFonts w:ascii="Verdana" w:hAnsi="Verdana" w:cs="Arial"/>
          <w:bCs/>
          <w:sz w:val="20"/>
          <w:szCs w:val="20"/>
        </w:rPr>
        <w:t>2</w:t>
      </w:r>
      <w:r w:rsidR="002B2AFF">
        <w:rPr>
          <w:rFonts w:ascii="Verdana" w:hAnsi="Verdana" w:cs="Arial"/>
          <w:bCs/>
          <w:sz w:val="20"/>
          <w:szCs w:val="20"/>
        </w:rPr>
        <w:t>0</w:t>
      </w:r>
      <w:r w:rsidR="005D5DD5">
        <w:rPr>
          <w:rFonts w:ascii="Verdana" w:hAnsi="Verdana" w:cs="Arial"/>
          <w:bCs/>
          <w:sz w:val="20"/>
          <w:szCs w:val="20"/>
        </w:rPr>
        <w:t xml:space="preserve">. </w:t>
      </w:r>
      <w:r w:rsidRPr="00897CE6">
        <w:rPr>
          <w:rFonts w:ascii="Verdana" w:hAnsi="Verdana" w:cs="Arial"/>
          <w:bCs/>
          <w:sz w:val="20"/>
          <w:szCs w:val="20"/>
        </w:rPr>
        <w:t xml:space="preserve">se </w:t>
      </w:r>
      <w:r w:rsidRPr="00897CE6">
        <w:rPr>
          <w:rFonts w:ascii="Verdana" w:hAnsi="Verdana" w:cs="Arial"/>
          <w:sz w:val="20"/>
          <w:szCs w:val="20"/>
        </w:rPr>
        <w:t xml:space="preserve">deben excluir del cómputo de las grandes exposiciones del grupo conectado de contrapartes conformado por </w:t>
      </w:r>
      <w:r w:rsidRPr="00897CE6">
        <w:rPr>
          <w:rFonts w:ascii="Verdana" w:hAnsi="Verdana" w:cs="Arial"/>
          <w:bCs/>
          <w:sz w:val="20"/>
          <w:szCs w:val="20"/>
        </w:rPr>
        <w:t xml:space="preserve">los accionistas, consorciados, miembros de uniones temporales o miembros de otros vehículos de asociación a través del cual se estructure el respectivo proyecto. Sin perjuicio de lo anterior, todas las operaciones frente a uno o varios vehículos de financiación para un mismo proyecto deben controlarse de forma conjunta, por corresponder a un riesgo común. </w:t>
      </w:r>
    </w:p>
    <w:p w14:paraId="659EA653" w14:textId="7DBB5CB0" w:rsidR="001B7405" w:rsidRDefault="001B7405" w:rsidP="001B7405">
      <w:pPr>
        <w:tabs>
          <w:tab w:val="left" w:pos="540"/>
        </w:tabs>
        <w:spacing w:after="0" w:line="240" w:lineRule="auto"/>
        <w:jc w:val="both"/>
        <w:rPr>
          <w:rFonts w:ascii="Verdana" w:hAnsi="Verdana" w:cs="Arial"/>
          <w:bCs/>
          <w:sz w:val="20"/>
          <w:szCs w:val="20"/>
        </w:rPr>
      </w:pPr>
      <w:r>
        <w:rPr>
          <w:rFonts w:ascii="Verdana" w:hAnsi="Verdana" w:cs="Arial"/>
          <w:bCs/>
          <w:sz w:val="20"/>
          <w:szCs w:val="20"/>
        </w:rPr>
        <w:t>2.10.2.3</w:t>
      </w:r>
      <w:r w:rsidR="00283F7F">
        <w:rPr>
          <w:rFonts w:ascii="Verdana" w:hAnsi="Verdana" w:cs="Arial"/>
          <w:bCs/>
          <w:sz w:val="20"/>
          <w:szCs w:val="20"/>
        </w:rPr>
        <w:t>9</w:t>
      </w:r>
      <w:r>
        <w:rPr>
          <w:rFonts w:ascii="Verdana" w:hAnsi="Verdana" w:cs="Arial"/>
          <w:bCs/>
          <w:sz w:val="20"/>
          <w:szCs w:val="20"/>
        </w:rPr>
        <w:t>.</w:t>
      </w:r>
    </w:p>
    <w:p w14:paraId="682DBE30" w14:textId="19093E3F" w:rsidR="00CF1B34" w:rsidRPr="00897CE6" w:rsidRDefault="00CF1B34" w:rsidP="00735892">
      <w:pPr>
        <w:tabs>
          <w:tab w:val="left" w:pos="540"/>
        </w:tabs>
        <w:spacing w:after="0" w:line="240" w:lineRule="auto"/>
        <w:jc w:val="both"/>
        <w:rPr>
          <w:rFonts w:ascii="Verdana" w:hAnsi="Verdana" w:cs="Arial"/>
          <w:bCs/>
          <w:sz w:val="20"/>
          <w:szCs w:val="20"/>
        </w:rPr>
      </w:pPr>
      <w:r w:rsidRPr="00897CE6">
        <w:rPr>
          <w:rFonts w:ascii="Verdana" w:hAnsi="Verdana" w:cs="Arial"/>
          <w:bCs/>
          <w:sz w:val="20"/>
          <w:szCs w:val="20"/>
        </w:rPr>
        <w:t xml:space="preserve">Según lo previsto en el artículo 2.1.2.1.8 del Decreto 2555 de 2010, las exposiciones frente inversionistas institucionales o sociedades cuyo objeto principal y exclusivo sea la realización de inversiones en el mercado de capitales no se agregarán con las exposiciones de otras contrapartes o grupos conectados de contrapartes, siempre que se cumplan los requisitos previstos </w:t>
      </w:r>
      <w:r w:rsidR="001F613C">
        <w:rPr>
          <w:rFonts w:ascii="Verdana" w:hAnsi="Verdana" w:cs="Arial"/>
          <w:bCs/>
          <w:sz w:val="20"/>
          <w:szCs w:val="20"/>
        </w:rPr>
        <w:t>entre los párrafos 2.10.2.2</w:t>
      </w:r>
      <w:r w:rsidR="002B2AFF">
        <w:rPr>
          <w:rFonts w:ascii="Verdana" w:hAnsi="Verdana" w:cs="Arial"/>
          <w:bCs/>
          <w:sz w:val="20"/>
          <w:szCs w:val="20"/>
        </w:rPr>
        <w:t>1</w:t>
      </w:r>
      <w:r w:rsidR="001F613C">
        <w:rPr>
          <w:rFonts w:ascii="Verdana" w:hAnsi="Verdana" w:cs="Arial"/>
          <w:bCs/>
          <w:sz w:val="20"/>
          <w:szCs w:val="20"/>
        </w:rPr>
        <w:t>. y 2.10.2.</w:t>
      </w:r>
      <w:r w:rsidR="001F613C" w:rsidRPr="00585503">
        <w:rPr>
          <w:rFonts w:ascii="Verdana" w:hAnsi="Verdana" w:cs="Arial"/>
          <w:bCs/>
          <w:sz w:val="20"/>
          <w:szCs w:val="20"/>
        </w:rPr>
        <w:t>2</w:t>
      </w:r>
      <w:r w:rsidR="002B2AFF">
        <w:rPr>
          <w:rFonts w:ascii="Verdana" w:hAnsi="Verdana" w:cs="Arial"/>
          <w:bCs/>
          <w:sz w:val="20"/>
          <w:szCs w:val="20"/>
        </w:rPr>
        <w:t>8</w:t>
      </w:r>
      <w:r w:rsidR="001F613C" w:rsidRPr="00585503">
        <w:rPr>
          <w:rFonts w:ascii="Verdana" w:hAnsi="Verdana" w:cs="Arial"/>
          <w:bCs/>
          <w:sz w:val="20"/>
          <w:szCs w:val="20"/>
        </w:rPr>
        <w:t>.</w:t>
      </w:r>
    </w:p>
    <w:p w14:paraId="100A9FD5" w14:textId="77777777" w:rsidR="009374F2" w:rsidRDefault="009374F2" w:rsidP="009374F2">
      <w:pPr>
        <w:spacing w:after="0" w:line="240" w:lineRule="auto"/>
        <w:jc w:val="both"/>
        <w:rPr>
          <w:rFonts w:ascii="Verdana" w:hAnsi="Verdana" w:cs="Arial"/>
          <w:sz w:val="20"/>
          <w:szCs w:val="20"/>
        </w:rPr>
      </w:pPr>
    </w:p>
    <w:p w14:paraId="78EA7A91" w14:textId="3758BF16" w:rsidR="00CF1B34" w:rsidRDefault="00CF1B34" w:rsidP="00CF1B34">
      <w:pPr>
        <w:pStyle w:val="Prrafodelista"/>
        <w:numPr>
          <w:ilvl w:val="0"/>
          <w:numId w:val="9"/>
        </w:numPr>
        <w:spacing w:after="0" w:line="240" w:lineRule="auto"/>
        <w:ind w:left="284" w:hanging="284"/>
        <w:jc w:val="both"/>
        <w:rPr>
          <w:rFonts w:ascii="Verdana" w:hAnsi="Verdana" w:cs="Arial"/>
          <w:b/>
          <w:bCs/>
          <w:sz w:val="20"/>
          <w:szCs w:val="20"/>
        </w:rPr>
      </w:pPr>
      <w:r w:rsidRPr="009374F2">
        <w:rPr>
          <w:rFonts w:ascii="Verdana" w:hAnsi="Verdana" w:cs="Arial"/>
          <w:b/>
          <w:bCs/>
          <w:sz w:val="20"/>
          <w:szCs w:val="20"/>
        </w:rPr>
        <w:t>Políticas para las inversiones en entidades financieras o inversiones realizadas por corporaciones financieras</w:t>
      </w:r>
    </w:p>
    <w:p w14:paraId="6ADFDC8C" w14:textId="77777777" w:rsidR="009374F2" w:rsidRPr="009374F2" w:rsidRDefault="009374F2" w:rsidP="009374F2">
      <w:pPr>
        <w:pStyle w:val="Prrafodelista"/>
        <w:spacing w:after="0" w:line="240" w:lineRule="auto"/>
        <w:ind w:left="284"/>
        <w:jc w:val="both"/>
        <w:rPr>
          <w:rFonts w:ascii="Verdana" w:hAnsi="Verdana" w:cs="Arial"/>
          <w:b/>
          <w:bCs/>
          <w:sz w:val="20"/>
          <w:szCs w:val="20"/>
        </w:rPr>
      </w:pPr>
    </w:p>
    <w:p w14:paraId="4C7CF90E" w14:textId="7CEF30A1" w:rsidR="001B7405" w:rsidRDefault="001B7405" w:rsidP="001B7405">
      <w:pPr>
        <w:tabs>
          <w:tab w:val="left" w:pos="540"/>
        </w:tabs>
        <w:spacing w:after="0" w:line="240" w:lineRule="auto"/>
        <w:jc w:val="both"/>
        <w:rPr>
          <w:rFonts w:ascii="Verdana" w:hAnsi="Verdana" w:cs="Arial"/>
          <w:bCs/>
          <w:sz w:val="20"/>
          <w:szCs w:val="20"/>
        </w:rPr>
      </w:pPr>
      <w:r>
        <w:rPr>
          <w:rFonts w:ascii="Verdana" w:hAnsi="Verdana" w:cs="Arial"/>
          <w:bCs/>
          <w:sz w:val="20"/>
          <w:szCs w:val="20"/>
        </w:rPr>
        <w:t>2.10.2.</w:t>
      </w:r>
      <w:r w:rsidR="00283F7F">
        <w:rPr>
          <w:rFonts w:ascii="Verdana" w:hAnsi="Verdana" w:cs="Arial"/>
          <w:bCs/>
          <w:sz w:val="20"/>
          <w:szCs w:val="20"/>
        </w:rPr>
        <w:t>40</w:t>
      </w:r>
      <w:r>
        <w:rPr>
          <w:rFonts w:ascii="Verdana" w:hAnsi="Verdana" w:cs="Arial"/>
          <w:bCs/>
          <w:sz w:val="20"/>
          <w:szCs w:val="20"/>
        </w:rPr>
        <w:t>.</w:t>
      </w:r>
    </w:p>
    <w:p w14:paraId="566D108C" w14:textId="43109F2B" w:rsidR="00CF1B34" w:rsidRPr="00897CE6" w:rsidRDefault="00CF1B34" w:rsidP="00CF1B34">
      <w:pPr>
        <w:jc w:val="both"/>
        <w:rPr>
          <w:rStyle w:val="normaltextrun"/>
          <w:rFonts w:ascii="Verdana" w:hAnsi="Verdana" w:cs="Arial"/>
          <w:color w:val="000000"/>
          <w:sz w:val="20"/>
          <w:szCs w:val="20"/>
          <w:shd w:val="clear" w:color="auto" w:fill="FFFFFF"/>
        </w:rPr>
      </w:pPr>
      <w:r w:rsidRPr="00897CE6">
        <w:rPr>
          <w:rStyle w:val="normaltextrun"/>
          <w:rFonts w:ascii="Verdana" w:hAnsi="Verdana" w:cs="Arial"/>
          <w:color w:val="000000"/>
          <w:sz w:val="20"/>
          <w:szCs w:val="20"/>
          <w:shd w:val="clear" w:color="auto" w:fill="FFFFFF"/>
        </w:rPr>
        <w:t xml:space="preserve">De conformidad con el parágrafo del </w:t>
      </w:r>
      <w:r w:rsidRPr="00897CE6">
        <w:rPr>
          <w:rFonts w:ascii="Verdana" w:hAnsi="Verdana" w:cs="Arial"/>
          <w:sz w:val="20"/>
          <w:szCs w:val="20"/>
        </w:rPr>
        <w:t>artículo 2.1.2.1.4 del Decreto 2555 de 2010,</w:t>
      </w:r>
      <w:r w:rsidRPr="00897CE6">
        <w:rPr>
          <w:rStyle w:val="normaltextrun"/>
          <w:rFonts w:ascii="Verdana" w:hAnsi="Verdana" w:cs="Arial"/>
          <w:color w:val="000000"/>
          <w:sz w:val="20"/>
          <w:szCs w:val="20"/>
          <w:shd w:val="clear" w:color="auto" w:fill="FFFFFF"/>
        </w:rPr>
        <w:t xml:space="preserve"> además de las políticas señaladas en la sección I del presente capítulo, las entidades vigiladas deben diseñar e implementar políticas y procedimientos para la gestión y límite de las exposiciones exceptuadas mencionadas en los numerales 9 y 10 del </w:t>
      </w:r>
      <w:r w:rsidRPr="00897CE6">
        <w:rPr>
          <w:rFonts w:ascii="Verdana" w:hAnsi="Verdana" w:cs="Arial"/>
          <w:sz w:val="20"/>
          <w:szCs w:val="20"/>
        </w:rPr>
        <w:t>artículo 2.1.2.1.4 del Decreto 2555 de 2010</w:t>
      </w:r>
      <w:r w:rsidRPr="00897CE6">
        <w:rPr>
          <w:rStyle w:val="normaltextrun"/>
          <w:rFonts w:ascii="Verdana" w:hAnsi="Verdana" w:cs="Arial"/>
          <w:color w:val="000000"/>
          <w:sz w:val="20"/>
          <w:szCs w:val="20"/>
          <w:shd w:val="clear" w:color="auto" w:fill="FFFFFF"/>
        </w:rPr>
        <w:t>, las cuales deben contemplar, como mínimo, los siguientes requisitos:</w:t>
      </w:r>
    </w:p>
    <w:p w14:paraId="03A09E5A" w14:textId="77777777" w:rsidR="00124E5D" w:rsidRDefault="00CF1B34" w:rsidP="00124E5D">
      <w:pPr>
        <w:pStyle w:val="Prrafodelista"/>
        <w:numPr>
          <w:ilvl w:val="0"/>
          <w:numId w:val="11"/>
        </w:numPr>
        <w:ind w:left="567" w:hanging="567"/>
        <w:jc w:val="both"/>
        <w:rPr>
          <w:rFonts w:ascii="Verdana" w:hAnsi="Verdana" w:cs="Arial"/>
          <w:bCs/>
          <w:sz w:val="20"/>
          <w:szCs w:val="20"/>
        </w:rPr>
      </w:pPr>
      <w:r w:rsidRPr="009374F2">
        <w:rPr>
          <w:rFonts w:ascii="Verdana" w:hAnsi="Verdana" w:cs="Arial"/>
          <w:bCs/>
          <w:sz w:val="20"/>
          <w:szCs w:val="20"/>
        </w:rPr>
        <w:t>Contar con procesos y procedimientos específicos para medir, evaluar, monitorear y controlar el valor de las respectivas exposiciones exceptuadas.</w:t>
      </w:r>
    </w:p>
    <w:p w14:paraId="390BF20C" w14:textId="77777777" w:rsidR="00124E5D" w:rsidRDefault="00124E5D" w:rsidP="00124E5D">
      <w:pPr>
        <w:pStyle w:val="Prrafodelista"/>
        <w:ind w:left="567"/>
        <w:jc w:val="both"/>
        <w:rPr>
          <w:rFonts w:ascii="Verdana" w:hAnsi="Verdana" w:cs="Arial"/>
          <w:bCs/>
          <w:sz w:val="20"/>
          <w:szCs w:val="20"/>
        </w:rPr>
      </w:pPr>
    </w:p>
    <w:p w14:paraId="451D14DB" w14:textId="579052E3" w:rsidR="00124E5D" w:rsidRDefault="00CF1B34" w:rsidP="00124E5D">
      <w:pPr>
        <w:pStyle w:val="Prrafodelista"/>
        <w:numPr>
          <w:ilvl w:val="0"/>
          <w:numId w:val="11"/>
        </w:numPr>
        <w:ind w:left="567" w:hanging="567"/>
        <w:jc w:val="both"/>
        <w:rPr>
          <w:rFonts w:ascii="Verdana" w:hAnsi="Verdana" w:cs="Arial"/>
          <w:bCs/>
          <w:sz w:val="20"/>
          <w:szCs w:val="20"/>
        </w:rPr>
      </w:pPr>
      <w:r w:rsidRPr="00124E5D">
        <w:rPr>
          <w:rFonts w:ascii="Verdana" w:hAnsi="Verdana" w:cs="Arial"/>
          <w:bCs/>
          <w:sz w:val="20"/>
          <w:szCs w:val="20"/>
        </w:rPr>
        <w:t xml:space="preserve">Establecer límites internos para mitigar las posibles pérdidas por las exposiciones excluidas. Para estos efectos, los límites de dichas inversiones deben contemplar criterios geográficos (límites por ubicación), sectoriales (límites por industria) y cambiarios (límites por moneda). En todo caso, los límites definidos internamente para este tipo de exposiciones deben ser establecidos de forma proporcional a la base de patrimonio para el cálculo de la Relación de Solvencia Básica Adicional, es decir, la suma del Patrimonio Básico Ordinario Neto de Deducciones y el Patrimonio Básico Adicional calculados de acuerdo con </w:t>
      </w:r>
      <w:r w:rsidR="00406DB4">
        <w:rPr>
          <w:rFonts w:ascii="Verdana" w:hAnsi="Verdana" w:cs="Arial"/>
          <w:bCs/>
          <w:sz w:val="20"/>
          <w:szCs w:val="20"/>
        </w:rPr>
        <w:t xml:space="preserve">el capítulo 1 de la parte 2 de la </w:t>
      </w:r>
      <w:r w:rsidR="00F32ACD">
        <w:rPr>
          <w:rFonts w:ascii="Verdana" w:hAnsi="Verdana" w:cs="Arial"/>
          <w:bCs/>
          <w:sz w:val="20"/>
          <w:szCs w:val="20"/>
        </w:rPr>
        <w:t>CBF</w:t>
      </w:r>
      <w:r w:rsidR="00406DB4">
        <w:rPr>
          <w:rFonts w:ascii="Verdana" w:hAnsi="Verdana" w:cs="Arial"/>
          <w:bCs/>
          <w:sz w:val="20"/>
          <w:szCs w:val="20"/>
        </w:rPr>
        <w:t>.</w:t>
      </w:r>
    </w:p>
    <w:p w14:paraId="07B5ED02" w14:textId="77777777" w:rsidR="00124E5D" w:rsidRPr="00124E5D" w:rsidRDefault="00124E5D" w:rsidP="00124E5D">
      <w:pPr>
        <w:pStyle w:val="Prrafodelista"/>
        <w:rPr>
          <w:rFonts w:ascii="Verdana" w:hAnsi="Verdana" w:cs="Arial"/>
          <w:bCs/>
          <w:sz w:val="20"/>
          <w:szCs w:val="20"/>
        </w:rPr>
      </w:pPr>
    </w:p>
    <w:p w14:paraId="78F39278" w14:textId="029C66B6" w:rsidR="00CF1B34" w:rsidRPr="00124E5D" w:rsidRDefault="00CF1B34" w:rsidP="00124E5D">
      <w:pPr>
        <w:pStyle w:val="Prrafodelista"/>
        <w:numPr>
          <w:ilvl w:val="0"/>
          <w:numId w:val="11"/>
        </w:numPr>
        <w:ind w:left="567" w:hanging="567"/>
        <w:jc w:val="both"/>
        <w:rPr>
          <w:rFonts w:ascii="Verdana" w:hAnsi="Verdana" w:cs="Arial"/>
          <w:bCs/>
          <w:sz w:val="20"/>
          <w:szCs w:val="20"/>
        </w:rPr>
      </w:pPr>
      <w:r w:rsidRPr="00124E5D">
        <w:rPr>
          <w:rFonts w:ascii="Verdana" w:hAnsi="Verdana" w:cs="Arial"/>
          <w:bCs/>
          <w:sz w:val="20"/>
          <w:szCs w:val="20"/>
        </w:rPr>
        <w:t xml:space="preserve">Contemplar la simulación de eventos de estrés que puedan afectar el valor de las respectivas inversiones, e identificar su impacto en los resultados, la solvencia y la </w:t>
      </w:r>
      <w:r w:rsidRPr="00124E5D">
        <w:rPr>
          <w:rFonts w:ascii="Verdana" w:hAnsi="Verdana" w:cs="Arial"/>
          <w:bCs/>
          <w:sz w:val="20"/>
          <w:szCs w:val="20"/>
        </w:rPr>
        <w:lastRenderedPageBreak/>
        <w:t xml:space="preserve">liquidez de la entidad. Estas simulaciones se deben considerar para efectos del esquema de pruebas de resistencia de la entidad. </w:t>
      </w:r>
    </w:p>
    <w:p w14:paraId="69631D2D" w14:textId="7EAC5350" w:rsidR="00965F57" w:rsidRPr="00965F57" w:rsidRDefault="00965F57" w:rsidP="00965F57">
      <w:pPr>
        <w:tabs>
          <w:tab w:val="left" w:pos="540"/>
        </w:tabs>
        <w:spacing w:after="0" w:line="240" w:lineRule="auto"/>
        <w:jc w:val="both"/>
        <w:rPr>
          <w:rFonts w:ascii="Verdana" w:hAnsi="Verdana" w:cs="Arial"/>
          <w:bCs/>
          <w:sz w:val="20"/>
          <w:szCs w:val="20"/>
        </w:rPr>
      </w:pPr>
      <w:r w:rsidRPr="00965F57">
        <w:rPr>
          <w:rFonts w:ascii="Verdana" w:hAnsi="Verdana" w:cs="Arial"/>
          <w:bCs/>
          <w:sz w:val="20"/>
          <w:szCs w:val="20"/>
        </w:rPr>
        <w:t>2.10.2.</w:t>
      </w:r>
      <w:r w:rsidR="00E86223">
        <w:rPr>
          <w:rFonts w:ascii="Verdana" w:hAnsi="Verdana" w:cs="Arial"/>
          <w:bCs/>
          <w:sz w:val="20"/>
          <w:szCs w:val="20"/>
        </w:rPr>
        <w:t>41</w:t>
      </w:r>
      <w:r w:rsidRPr="00965F57">
        <w:rPr>
          <w:rFonts w:ascii="Verdana" w:hAnsi="Verdana" w:cs="Arial"/>
          <w:bCs/>
          <w:sz w:val="20"/>
          <w:szCs w:val="20"/>
        </w:rPr>
        <w:t>.</w:t>
      </w:r>
    </w:p>
    <w:p w14:paraId="4BA9FD74" w14:textId="07578ACF" w:rsidR="009A49A2" w:rsidRDefault="00CF1B34" w:rsidP="00CF1B34">
      <w:pPr>
        <w:jc w:val="both"/>
        <w:rPr>
          <w:rFonts w:ascii="Verdana" w:hAnsi="Verdana" w:cs="Arial"/>
          <w:sz w:val="20"/>
          <w:szCs w:val="20"/>
        </w:rPr>
      </w:pPr>
      <w:r w:rsidRPr="00897CE6">
        <w:rPr>
          <w:rFonts w:ascii="Verdana" w:hAnsi="Verdana" w:cs="Arial"/>
          <w:sz w:val="20"/>
          <w:szCs w:val="20"/>
        </w:rPr>
        <w:t xml:space="preserve">Las políticas definidas de acuerdo con lo previsto en el </w:t>
      </w:r>
      <w:r w:rsidR="00041912">
        <w:rPr>
          <w:rFonts w:ascii="Verdana" w:hAnsi="Verdana" w:cs="Arial"/>
          <w:sz w:val="20"/>
          <w:szCs w:val="20"/>
        </w:rPr>
        <w:t xml:space="preserve">párrafo </w:t>
      </w:r>
      <w:r w:rsidR="00041912" w:rsidRPr="00E86223">
        <w:rPr>
          <w:rFonts w:ascii="Verdana" w:hAnsi="Verdana" w:cs="Arial"/>
          <w:sz w:val="20"/>
          <w:szCs w:val="20"/>
        </w:rPr>
        <w:t>2.10.2.</w:t>
      </w:r>
      <w:r w:rsidR="00E86223">
        <w:rPr>
          <w:rFonts w:ascii="Verdana" w:hAnsi="Verdana" w:cs="Arial"/>
          <w:sz w:val="20"/>
          <w:szCs w:val="20"/>
        </w:rPr>
        <w:t>40</w:t>
      </w:r>
      <w:r w:rsidR="00C446DC" w:rsidRPr="00E86223">
        <w:rPr>
          <w:rFonts w:ascii="Verdana" w:hAnsi="Verdana" w:cs="Arial"/>
          <w:sz w:val="20"/>
          <w:szCs w:val="20"/>
        </w:rPr>
        <w:t>.</w:t>
      </w:r>
      <w:r w:rsidR="00C446DC">
        <w:rPr>
          <w:rFonts w:ascii="Verdana" w:hAnsi="Verdana" w:cs="Arial"/>
          <w:sz w:val="20"/>
          <w:szCs w:val="20"/>
        </w:rPr>
        <w:t xml:space="preserve"> </w:t>
      </w:r>
      <w:r w:rsidRPr="00897CE6">
        <w:rPr>
          <w:rFonts w:ascii="Verdana" w:hAnsi="Verdana" w:cs="Arial"/>
          <w:sz w:val="20"/>
          <w:szCs w:val="20"/>
        </w:rPr>
        <w:t xml:space="preserve">deberán ser aprobadas por la junta directiva de la entidad o su equivalente, y deberán ser revisadas por lo menos con una periodicidad anual. En todo caso, la junta directiva o su equivalente debe aprobar todas las acciones relacionadas con la gestión del riesgo asociado a las exposiciones de que trata </w:t>
      </w:r>
      <w:r w:rsidR="00323DA0" w:rsidRPr="00897CE6">
        <w:rPr>
          <w:rFonts w:ascii="Verdana" w:hAnsi="Verdana" w:cs="Arial"/>
          <w:sz w:val="20"/>
          <w:szCs w:val="20"/>
        </w:rPr>
        <w:t xml:space="preserve">el </w:t>
      </w:r>
      <w:r w:rsidR="00323DA0">
        <w:rPr>
          <w:rFonts w:ascii="Verdana" w:hAnsi="Verdana" w:cs="Arial"/>
          <w:sz w:val="20"/>
          <w:szCs w:val="20"/>
        </w:rPr>
        <w:t xml:space="preserve">párrafo </w:t>
      </w:r>
      <w:r w:rsidR="00323DA0" w:rsidRPr="00E86223">
        <w:rPr>
          <w:rFonts w:ascii="Verdana" w:hAnsi="Verdana" w:cs="Arial"/>
          <w:sz w:val="20"/>
          <w:szCs w:val="20"/>
        </w:rPr>
        <w:t>2.10.2.</w:t>
      </w:r>
      <w:r w:rsidR="00E86223">
        <w:rPr>
          <w:rFonts w:ascii="Verdana" w:hAnsi="Verdana" w:cs="Arial"/>
          <w:sz w:val="20"/>
          <w:szCs w:val="20"/>
        </w:rPr>
        <w:t>41</w:t>
      </w:r>
      <w:r w:rsidR="00323DA0" w:rsidRPr="00E86223">
        <w:rPr>
          <w:rFonts w:ascii="Verdana" w:hAnsi="Verdana" w:cs="Arial"/>
          <w:sz w:val="20"/>
          <w:szCs w:val="20"/>
        </w:rPr>
        <w:t>.</w:t>
      </w:r>
    </w:p>
    <w:p w14:paraId="6F5EA3F7" w14:textId="02885566" w:rsidR="00CF1B34" w:rsidRPr="00124E5D" w:rsidRDefault="00CF1B34" w:rsidP="00CF1B34">
      <w:pPr>
        <w:pStyle w:val="Prrafodelista"/>
        <w:numPr>
          <w:ilvl w:val="0"/>
          <w:numId w:val="9"/>
        </w:numPr>
        <w:spacing w:after="0" w:line="240" w:lineRule="auto"/>
        <w:ind w:left="284" w:hanging="284"/>
        <w:jc w:val="both"/>
        <w:rPr>
          <w:rFonts w:ascii="Verdana" w:hAnsi="Verdana" w:cs="Arial"/>
          <w:b/>
          <w:bCs/>
          <w:sz w:val="20"/>
          <w:szCs w:val="20"/>
        </w:rPr>
      </w:pPr>
      <w:r w:rsidRPr="00124E5D">
        <w:rPr>
          <w:rFonts w:ascii="Verdana" w:hAnsi="Verdana" w:cs="Arial"/>
          <w:b/>
          <w:bCs/>
          <w:sz w:val="20"/>
          <w:szCs w:val="20"/>
        </w:rPr>
        <w:t>Inversiones de capital en entidades vigiladas</w:t>
      </w:r>
    </w:p>
    <w:p w14:paraId="771D0929" w14:textId="77777777" w:rsidR="00124E5D" w:rsidRDefault="00124E5D" w:rsidP="00965F57">
      <w:pPr>
        <w:tabs>
          <w:tab w:val="left" w:pos="540"/>
        </w:tabs>
        <w:spacing w:after="0" w:line="240" w:lineRule="auto"/>
        <w:jc w:val="both"/>
        <w:rPr>
          <w:rFonts w:ascii="Verdana" w:hAnsi="Verdana" w:cs="Arial"/>
          <w:bCs/>
          <w:sz w:val="20"/>
          <w:szCs w:val="20"/>
        </w:rPr>
      </w:pPr>
    </w:p>
    <w:p w14:paraId="28A1FCD1" w14:textId="73521F21" w:rsidR="00965F57" w:rsidRDefault="00965F57" w:rsidP="00965F57">
      <w:pPr>
        <w:tabs>
          <w:tab w:val="left" w:pos="540"/>
        </w:tabs>
        <w:spacing w:after="0" w:line="240" w:lineRule="auto"/>
        <w:jc w:val="both"/>
        <w:rPr>
          <w:rFonts w:ascii="Verdana" w:hAnsi="Verdana" w:cs="Arial"/>
          <w:bCs/>
          <w:sz w:val="20"/>
          <w:szCs w:val="20"/>
        </w:rPr>
      </w:pPr>
      <w:r>
        <w:rPr>
          <w:rFonts w:ascii="Verdana" w:hAnsi="Verdana" w:cs="Arial"/>
          <w:bCs/>
          <w:sz w:val="20"/>
          <w:szCs w:val="20"/>
        </w:rPr>
        <w:t>2.10.2.</w:t>
      </w:r>
      <w:r w:rsidR="00EE38EC">
        <w:rPr>
          <w:rFonts w:ascii="Verdana" w:hAnsi="Verdana" w:cs="Arial"/>
          <w:bCs/>
          <w:sz w:val="20"/>
          <w:szCs w:val="20"/>
        </w:rPr>
        <w:t>4</w:t>
      </w:r>
      <w:r w:rsidR="00E86223">
        <w:rPr>
          <w:rFonts w:ascii="Verdana" w:hAnsi="Verdana" w:cs="Arial"/>
          <w:bCs/>
          <w:sz w:val="20"/>
          <w:szCs w:val="20"/>
        </w:rPr>
        <w:t>2</w:t>
      </w:r>
      <w:r>
        <w:rPr>
          <w:rFonts w:ascii="Verdana" w:hAnsi="Verdana" w:cs="Arial"/>
          <w:bCs/>
          <w:sz w:val="20"/>
          <w:szCs w:val="20"/>
        </w:rPr>
        <w:t>.</w:t>
      </w:r>
    </w:p>
    <w:p w14:paraId="1CC51BEA" w14:textId="27604611" w:rsidR="00CF1B34" w:rsidRDefault="00CF1B34" w:rsidP="2A78066E">
      <w:pPr>
        <w:tabs>
          <w:tab w:val="left" w:pos="540"/>
        </w:tabs>
        <w:spacing w:after="0" w:line="240" w:lineRule="auto"/>
        <w:jc w:val="both"/>
        <w:rPr>
          <w:rFonts w:ascii="Verdana" w:hAnsi="Verdana" w:cs="Arial"/>
          <w:sz w:val="20"/>
          <w:szCs w:val="20"/>
        </w:rPr>
      </w:pPr>
      <w:r w:rsidRPr="2A78066E">
        <w:rPr>
          <w:rFonts w:ascii="Verdana" w:hAnsi="Verdana" w:cs="Arial"/>
          <w:sz w:val="20"/>
          <w:szCs w:val="20"/>
        </w:rPr>
        <w:t>El valor de las inversiones de capital, de las inversiones en bonos obligatoriamente convertibles en acciones, en bonos subordinados opcionalmente convertibles en acciones o, en general, en instrumentos de deuda subordinada, efectuadas de forma directa o indirecta en entidades sometidas a la vigilancia de esta Superintendencia o en entidades financieras del exterior, no se agregarán con las exposiciones de otras contrapartes o grupos conectados de contrapartes, siempre y cuando se cumplan con los siguientes requisitos: (i) las inversiones respectivas correspondan a entidades respecto de las cuales haya lugar a consolidación</w:t>
      </w:r>
      <w:r w:rsidR="00D64560">
        <w:rPr>
          <w:rFonts w:ascii="Verdana" w:hAnsi="Verdana" w:cs="Arial"/>
          <w:sz w:val="20"/>
          <w:szCs w:val="20"/>
        </w:rPr>
        <w:t xml:space="preserve"> por parte del establecimiento de crédito o por entidades pertenecientes al conglomerado financiero del cual haga parte el establecimiento de crédito</w:t>
      </w:r>
      <w:r w:rsidRPr="2A78066E">
        <w:rPr>
          <w:rFonts w:ascii="Verdana" w:hAnsi="Verdana" w:cs="Arial"/>
          <w:sz w:val="20"/>
          <w:szCs w:val="20"/>
        </w:rPr>
        <w:t xml:space="preserve">; y (ii) la entidad inversionista cuente con políticas, controles y límites para la gestión de estas </w:t>
      </w:r>
      <w:r w:rsidRPr="004D5065">
        <w:rPr>
          <w:rFonts w:ascii="Verdana" w:hAnsi="Verdana" w:cs="Arial"/>
          <w:sz w:val="20"/>
          <w:szCs w:val="20"/>
        </w:rPr>
        <w:t xml:space="preserve">exposiciones en los términos </w:t>
      </w:r>
      <w:r w:rsidR="004D5065" w:rsidRPr="004D5065">
        <w:rPr>
          <w:rFonts w:ascii="Verdana" w:hAnsi="Verdana" w:cs="Arial"/>
          <w:sz w:val="20"/>
          <w:szCs w:val="20"/>
        </w:rPr>
        <w:t>de los párrafos 2.10.2.39. y 2.10.2.40.</w:t>
      </w:r>
      <w:r w:rsidRPr="2A78066E">
        <w:rPr>
          <w:rFonts w:ascii="Verdana" w:hAnsi="Verdana" w:cs="Arial"/>
          <w:sz w:val="20"/>
          <w:szCs w:val="20"/>
        </w:rPr>
        <w:t xml:space="preserve"> </w:t>
      </w:r>
    </w:p>
    <w:p w14:paraId="619C3AA3" w14:textId="77777777" w:rsidR="006337B6" w:rsidRPr="003C6B51" w:rsidRDefault="006337B6" w:rsidP="00497389">
      <w:pPr>
        <w:tabs>
          <w:tab w:val="left" w:pos="540"/>
        </w:tabs>
        <w:spacing w:after="0" w:line="240" w:lineRule="auto"/>
        <w:jc w:val="both"/>
        <w:rPr>
          <w:rFonts w:ascii="Verdana" w:hAnsi="Verdana" w:cs="Arial"/>
          <w:b/>
          <w:bCs/>
          <w:sz w:val="20"/>
          <w:szCs w:val="20"/>
        </w:rPr>
      </w:pPr>
    </w:p>
    <w:p w14:paraId="56A6E6A9" w14:textId="713B6BA4" w:rsidR="00CF1B34" w:rsidRPr="003C6B51" w:rsidRDefault="00CF1B34" w:rsidP="003C6B51">
      <w:pPr>
        <w:pStyle w:val="Prrafodelista"/>
        <w:numPr>
          <w:ilvl w:val="0"/>
          <w:numId w:val="9"/>
        </w:numPr>
        <w:spacing w:after="0" w:line="240" w:lineRule="auto"/>
        <w:ind w:left="284" w:hanging="295"/>
        <w:jc w:val="both"/>
        <w:rPr>
          <w:rFonts w:ascii="Verdana" w:hAnsi="Verdana" w:cs="Arial"/>
          <w:b/>
          <w:bCs/>
          <w:sz w:val="20"/>
          <w:szCs w:val="20"/>
        </w:rPr>
      </w:pPr>
      <w:r w:rsidRPr="003C6B51">
        <w:rPr>
          <w:rFonts w:ascii="Verdana" w:hAnsi="Verdana" w:cs="Arial"/>
          <w:b/>
          <w:bCs/>
          <w:sz w:val="20"/>
          <w:szCs w:val="20"/>
        </w:rPr>
        <w:t>Inversiones de capital realizadas por corporaciones financieras</w:t>
      </w:r>
    </w:p>
    <w:p w14:paraId="67BA9810" w14:textId="77777777" w:rsidR="003C6B51" w:rsidRDefault="003C6B51" w:rsidP="00965F57">
      <w:pPr>
        <w:tabs>
          <w:tab w:val="left" w:pos="540"/>
        </w:tabs>
        <w:spacing w:after="0" w:line="240" w:lineRule="auto"/>
        <w:jc w:val="both"/>
        <w:rPr>
          <w:rFonts w:ascii="Verdana" w:hAnsi="Verdana" w:cs="Arial"/>
          <w:sz w:val="20"/>
          <w:szCs w:val="20"/>
        </w:rPr>
      </w:pPr>
    </w:p>
    <w:p w14:paraId="2A5A0B05" w14:textId="4E9C46A3" w:rsidR="00965F57" w:rsidRDefault="00965F57" w:rsidP="00965F57">
      <w:pPr>
        <w:tabs>
          <w:tab w:val="left" w:pos="540"/>
        </w:tabs>
        <w:spacing w:after="0" w:line="240" w:lineRule="auto"/>
        <w:jc w:val="both"/>
        <w:rPr>
          <w:rFonts w:ascii="Verdana" w:hAnsi="Verdana" w:cs="Arial"/>
          <w:bCs/>
          <w:sz w:val="20"/>
          <w:szCs w:val="20"/>
        </w:rPr>
      </w:pPr>
      <w:r>
        <w:rPr>
          <w:rFonts w:ascii="Verdana" w:hAnsi="Verdana" w:cs="Arial"/>
          <w:bCs/>
          <w:sz w:val="20"/>
          <w:szCs w:val="20"/>
        </w:rPr>
        <w:t>2.10.2.</w:t>
      </w:r>
      <w:r w:rsidR="00EE38EC">
        <w:rPr>
          <w:rFonts w:ascii="Verdana" w:hAnsi="Verdana" w:cs="Arial"/>
          <w:bCs/>
          <w:sz w:val="20"/>
          <w:szCs w:val="20"/>
        </w:rPr>
        <w:t>4</w:t>
      </w:r>
      <w:r w:rsidR="00E86223">
        <w:rPr>
          <w:rFonts w:ascii="Verdana" w:hAnsi="Verdana" w:cs="Arial"/>
          <w:bCs/>
          <w:sz w:val="20"/>
          <w:szCs w:val="20"/>
        </w:rPr>
        <w:t>3</w:t>
      </w:r>
      <w:r>
        <w:rPr>
          <w:rFonts w:ascii="Verdana" w:hAnsi="Verdana" w:cs="Arial"/>
          <w:bCs/>
          <w:sz w:val="20"/>
          <w:szCs w:val="20"/>
        </w:rPr>
        <w:t>.</w:t>
      </w:r>
    </w:p>
    <w:p w14:paraId="19F34D4C" w14:textId="3C20B9BB" w:rsidR="00BE5125" w:rsidRDefault="00CF1B34" w:rsidP="2A78066E">
      <w:pPr>
        <w:tabs>
          <w:tab w:val="left" w:pos="540"/>
        </w:tabs>
        <w:spacing w:after="0" w:line="240" w:lineRule="auto"/>
        <w:jc w:val="both"/>
        <w:rPr>
          <w:rFonts w:ascii="Verdana" w:hAnsi="Verdana" w:cs="Arial"/>
          <w:sz w:val="20"/>
          <w:szCs w:val="20"/>
        </w:rPr>
      </w:pPr>
      <w:r w:rsidRPr="2A78066E">
        <w:rPr>
          <w:rFonts w:ascii="Verdana" w:hAnsi="Verdana" w:cs="Arial"/>
          <w:sz w:val="20"/>
          <w:szCs w:val="20"/>
        </w:rPr>
        <w:t>En concordancia con lo señalado en</w:t>
      </w:r>
      <w:r w:rsidR="00C80E3B">
        <w:rPr>
          <w:rFonts w:ascii="Verdana" w:hAnsi="Verdana" w:cs="Arial"/>
          <w:sz w:val="20"/>
          <w:szCs w:val="20"/>
        </w:rPr>
        <w:t>tre l</w:t>
      </w:r>
      <w:r w:rsidR="00C80E3B" w:rsidRPr="004D5065">
        <w:rPr>
          <w:rFonts w:ascii="Verdana" w:hAnsi="Verdana" w:cs="Arial"/>
          <w:sz w:val="20"/>
          <w:szCs w:val="20"/>
        </w:rPr>
        <w:t>os párrafos 2.10.2.</w:t>
      </w:r>
      <w:r w:rsidR="00E86223">
        <w:rPr>
          <w:rFonts w:ascii="Verdana" w:hAnsi="Verdana" w:cs="Arial"/>
          <w:sz w:val="20"/>
          <w:szCs w:val="20"/>
        </w:rPr>
        <w:t>40</w:t>
      </w:r>
      <w:r w:rsidR="00C80E3B" w:rsidRPr="004D5065">
        <w:rPr>
          <w:rFonts w:ascii="Verdana" w:hAnsi="Verdana" w:cs="Arial"/>
          <w:sz w:val="20"/>
          <w:szCs w:val="20"/>
        </w:rPr>
        <w:t>. y 2.10.2.</w:t>
      </w:r>
      <w:r w:rsidR="00E86223">
        <w:rPr>
          <w:rFonts w:ascii="Verdana" w:hAnsi="Verdana" w:cs="Arial"/>
          <w:sz w:val="20"/>
          <w:szCs w:val="20"/>
        </w:rPr>
        <w:t>41</w:t>
      </w:r>
      <w:r w:rsidR="00C80E3B" w:rsidRPr="004D5065">
        <w:rPr>
          <w:rFonts w:ascii="Verdana" w:hAnsi="Verdana" w:cs="Arial"/>
          <w:sz w:val="20"/>
          <w:szCs w:val="20"/>
        </w:rPr>
        <w:t>.</w:t>
      </w:r>
      <w:r w:rsidRPr="2A78066E">
        <w:rPr>
          <w:rFonts w:ascii="Verdana" w:hAnsi="Verdana" w:cs="Arial"/>
          <w:sz w:val="20"/>
          <w:szCs w:val="20"/>
        </w:rPr>
        <w:t>, para el caso de las corporaciones financieras el valor de las inversiones de capital, de las inversiones en bonos obligatoriamente convertibles en acciones, en bonos subordinados opcionalmente convertibles en acciones o, en general, en instrumentos de deuda subordinada, efectuadas de forma directa o indirecta en sociedades diferentes a las sometidas a la vigilancia de esta Superintendencia o entidades financieras del exterior, no se agregarán con las exposiciones de otras contrapartes o grupos conectados de contrapartes, siempre y cuando se haya registrado situación de control sobre las respectivas sociedades en el registro mercantil en los términos del artículo 30 de la Ley 222 de 1995.</w:t>
      </w:r>
    </w:p>
    <w:p w14:paraId="3A7A7081" w14:textId="77777777" w:rsidR="00BE5125" w:rsidRPr="003C6B51" w:rsidRDefault="00BE5125" w:rsidP="00BE5125">
      <w:pPr>
        <w:tabs>
          <w:tab w:val="left" w:pos="540"/>
        </w:tabs>
        <w:spacing w:after="0" w:line="240" w:lineRule="auto"/>
        <w:jc w:val="both"/>
        <w:rPr>
          <w:rFonts w:ascii="Verdana" w:hAnsi="Verdana" w:cs="Arial"/>
          <w:b/>
          <w:bCs/>
          <w:sz w:val="20"/>
          <w:szCs w:val="20"/>
        </w:rPr>
      </w:pPr>
    </w:p>
    <w:p w14:paraId="4F292EE2" w14:textId="7197A2F3" w:rsidR="00BE5125" w:rsidRPr="00BE5125" w:rsidRDefault="00BE5125" w:rsidP="008D62A4">
      <w:pPr>
        <w:pStyle w:val="Prrafodelista"/>
        <w:numPr>
          <w:ilvl w:val="0"/>
          <w:numId w:val="9"/>
        </w:numPr>
        <w:spacing w:after="0" w:line="240" w:lineRule="auto"/>
        <w:ind w:left="284" w:hanging="295"/>
        <w:jc w:val="both"/>
        <w:rPr>
          <w:rFonts w:ascii="Verdana" w:hAnsi="Verdana" w:cs="Arial"/>
          <w:b/>
          <w:bCs/>
          <w:sz w:val="20"/>
          <w:szCs w:val="20"/>
        </w:rPr>
      </w:pPr>
      <w:r w:rsidRPr="008D62A4">
        <w:rPr>
          <w:rFonts w:ascii="Verdana" w:hAnsi="Verdana" w:cs="Arial"/>
          <w:b/>
          <w:sz w:val="20"/>
          <w:szCs w:val="20"/>
          <w:lang w:val="es-ES"/>
        </w:rPr>
        <w:t>Exposiciones por concepto de las garantías expedidas por los fondos de garantías de naturaleza pública, vigilados directa o indirectamente por la SFC, en favor de otras contrapartes</w:t>
      </w:r>
    </w:p>
    <w:p w14:paraId="79F87056" w14:textId="77777777" w:rsidR="00BE5125" w:rsidRPr="00BE5125" w:rsidRDefault="00BE5125" w:rsidP="00BE5125">
      <w:pPr>
        <w:spacing w:after="0" w:line="240" w:lineRule="auto"/>
        <w:jc w:val="both"/>
        <w:rPr>
          <w:rFonts w:ascii="Verdana" w:hAnsi="Verdana" w:cs="Arial"/>
          <w:b/>
          <w:sz w:val="20"/>
          <w:szCs w:val="20"/>
        </w:rPr>
      </w:pPr>
    </w:p>
    <w:p w14:paraId="2DE7B446" w14:textId="110AD4DC" w:rsidR="00BB4B70" w:rsidRDefault="00BB4B70" w:rsidP="00BB4B70">
      <w:pPr>
        <w:tabs>
          <w:tab w:val="left" w:pos="540"/>
        </w:tabs>
        <w:spacing w:after="0" w:line="240" w:lineRule="auto"/>
        <w:jc w:val="both"/>
        <w:rPr>
          <w:rFonts w:ascii="Verdana" w:hAnsi="Verdana" w:cs="Arial"/>
          <w:bCs/>
          <w:sz w:val="20"/>
          <w:szCs w:val="20"/>
        </w:rPr>
      </w:pPr>
      <w:r>
        <w:rPr>
          <w:rFonts w:ascii="Verdana" w:hAnsi="Verdana" w:cs="Arial"/>
          <w:bCs/>
          <w:sz w:val="20"/>
          <w:szCs w:val="20"/>
        </w:rPr>
        <w:t>2.10.2.</w:t>
      </w:r>
      <w:r w:rsidR="00E86223">
        <w:rPr>
          <w:rFonts w:ascii="Verdana" w:hAnsi="Verdana" w:cs="Arial"/>
          <w:bCs/>
          <w:sz w:val="20"/>
          <w:szCs w:val="20"/>
        </w:rPr>
        <w:t>44</w:t>
      </w:r>
      <w:r>
        <w:rPr>
          <w:rFonts w:ascii="Verdana" w:hAnsi="Verdana" w:cs="Arial"/>
          <w:bCs/>
          <w:sz w:val="20"/>
          <w:szCs w:val="20"/>
        </w:rPr>
        <w:t>.</w:t>
      </w:r>
    </w:p>
    <w:p w14:paraId="093DB2A9" w14:textId="77777777" w:rsidR="00BB4B70" w:rsidRDefault="00BB4B70" w:rsidP="00BB4B70">
      <w:pPr>
        <w:spacing w:after="0" w:line="240" w:lineRule="auto"/>
        <w:jc w:val="both"/>
        <w:rPr>
          <w:rFonts w:ascii="Verdana" w:hAnsi="Verdana" w:cs="Arial"/>
          <w:bCs/>
          <w:sz w:val="20"/>
          <w:szCs w:val="20"/>
          <w:lang w:val="es-ES"/>
        </w:rPr>
      </w:pPr>
      <w:r>
        <w:rPr>
          <w:rFonts w:ascii="Verdana" w:hAnsi="Verdana" w:cs="Arial"/>
          <w:bCs/>
          <w:sz w:val="20"/>
          <w:szCs w:val="20"/>
        </w:rPr>
        <w:t xml:space="preserve">Sin </w:t>
      </w:r>
      <w:r w:rsidR="00BE5125" w:rsidRPr="008D62A4">
        <w:rPr>
          <w:rFonts w:ascii="Verdana" w:hAnsi="Verdana" w:cs="Arial"/>
          <w:bCs/>
          <w:sz w:val="20"/>
          <w:szCs w:val="20"/>
        </w:rPr>
        <w:t xml:space="preserve">perjuicio de lo previsto en el parágrafo del artículo 2.1.2.1.3. del Decreto 2555 de 2010, las exposiciones con los fondos de garantías que respalden otras exposiciones no se computarán para establecer el cumplimiento de los límites, </w:t>
      </w:r>
      <w:r w:rsidR="00BE5125" w:rsidRPr="008D62A4">
        <w:rPr>
          <w:rFonts w:ascii="Verdana" w:hAnsi="Verdana" w:cs="Arial"/>
          <w:bCs/>
          <w:sz w:val="20"/>
          <w:szCs w:val="20"/>
          <w:lang w:val="es-ES"/>
        </w:rPr>
        <w:t xml:space="preserve">siempre que estos fondos cumplan con la totalidad de los requisitos señalados en el </w:t>
      </w:r>
      <w:r w:rsidR="00BE5125" w:rsidRPr="008D62A4">
        <w:rPr>
          <w:rFonts w:ascii="Verdana" w:hAnsi="Verdana" w:cs="Arial"/>
          <w:bCs/>
          <w:sz w:val="20"/>
          <w:szCs w:val="20"/>
        </w:rPr>
        <w:t xml:space="preserve">numeral 11 del artículo </w:t>
      </w:r>
      <w:r w:rsidR="00BE5125" w:rsidRPr="008D62A4">
        <w:rPr>
          <w:rFonts w:ascii="Verdana" w:hAnsi="Verdana" w:cs="Arial"/>
          <w:bCs/>
          <w:sz w:val="20"/>
          <w:szCs w:val="20"/>
          <w:lang w:val="es-ES"/>
        </w:rPr>
        <w:t>2.1.2.1.4. del Decreto 2555 de 2010.</w:t>
      </w:r>
    </w:p>
    <w:p w14:paraId="32BF2684" w14:textId="77777777" w:rsidR="00BB4B70" w:rsidRDefault="00BB4B70" w:rsidP="00BB4B70">
      <w:pPr>
        <w:spacing w:after="0" w:line="240" w:lineRule="auto"/>
        <w:jc w:val="both"/>
        <w:rPr>
          <w:rFonts w:ascii="Verdana" w:hAnsi="Verdana" w:cs="Arial"/>
          <w:bCs/>
          <w:sz w:val="20"/>
          <w:szCs w:val="20"/>
          <w:lang w:val="es-ES"/>
        </w:rPr>
      </w:pPr>
    </w:p>
    <w:p w14:paraId="42B75037" w14:textId="2F462E55" w:rsidR="00BB4B70" w:rsidRDefault="00BB4B70" w:rsidP="00BB4B70">
      <w:pPr>
        <w:tabs>
          <w:tab w:val="left" w:pos="540"/>
        </w:tabs>
        <w:spacing w:after="0" w:line="240" w:lineRule="auto"/>
        <w:jc w:val="both"/>
        <w:rPr>
          <w:rFonts w:ascii="Verdana" w:hAnsi="Verdana" w:cs="Arial"/>
          <w:bCs/>
          <w:sz w:val="20"/>
          <w:szCs w:val="20"/>
        </w:rPr>
      </w:pPr>
      <w:r>
        <w:rPr>
          <w:rFonts w:ascii="Verdana" w:hAnsi="Verdana" w:cs="Arial"/>
          <w:bCs/>
          <w:sz w:val="20"/>
          <w:szCs w:val="20"/>
        </w:rPr>
        <w:t>2.10.2.</w:t>
      </w:r>
      <w:r w:rsidR="00E86223">
        <w:rPr>
          <w:rFonts w:ascii="Verdana" w:hAnsi="Verdana" w:cs="Arial"/>
          <w:bCs/>
          <w:sz w:val="20"/>
          <w:szCs w:val="20"/>
        </w:rPr>
        <w:t>45</w:t>
      </w:r>
      <w:r>
        <w:rPr>
          <w:rFonts w:ascii="Verdana" w:hAnsi="Verdana" w:cs="Arial"/>
          <w:bCs/>
          <w:sz w:val="20"/>
          <w:szCs w:val="20"/>
        </w:rPr>
        <w:t>.</w:t>
      </w:r>
    </w:p>
    <w:p w14:paraId="5F8C8C19" w14:textId="6ACD93C8" w:rsidR="00BE5125" w:rsidRPr="008D62A4" w:rsidRDefault="00BE5125" w:rsidP="00BB4B70">
      <w:pPr>
        <w:spacing w:after="0" w:line="240" w:lineRule="auto"/>
        <w:jc w:val="both"/>
        <w:rPr>
          <w:rFonts w:ascii="Verdana" w:hAnsi="Verdana" w:cs="Arial"/>
          <w:bCs/>
          <w:sz w:val="20"/>
          <w:szCs w:val="20"/>
        </w:rPr>
      </w:pPr>
      <w:r w:rsidRPr="008D62A4">
        <w:rPr>
          <w:rFonts w:ascii="Verdana" w:hAnsi="Verdana" w:cs="Arial"/>
          <w:bCs/>
          <w:sz w:val="20"/>
          <w:szCs w:val="20"/>
          <w:lang w:val="es-ES"/>
        </w:rPr>
        <w:t xml:space="preserve">Para efectos de lo previsto en el numeral 11.3. del citado </w:t>
      </w:r>
      <w:r w:rsidRPr="001F1301">
        <w:rPr>
          <w:rFonts w:ascii="Verdana" w:hAnsi="Verdana" w:cs="Arial"/>
          <w:bCs/>
          <w:sz w:val="20"/>
          <w:szCs w:val="20"/>
        </w:rPr>
        <w:t>artículo</w:t>
      </w:r>
      <w:r w:rsidR="001F1301" w:rsidRPr="001F1301">
        <w:rPr>
          <w:rFonts w:ascii="Verdana" w:hAnsi="Verdana" w:cs="Arial"/>
          <w:bCs/>
          <w:sz w:val="20"/>
          <w:szCs w:val="20"/>
        </w:rPr>
        <w:t xml:space="preserve"> 2.1.2.1.4.</w:t>
      </w:r>
      <w:r w:rsidR="00425E38">
        <w:rPr>
          <w:rFonts w:ascii="Verdana" w:hAnsi="Verdana" w:cs="Arial"/>
          <w:bCs/>
          <w:sz w:val="20"/>
          <w:szCs w:val="20"/>
        </w:rPr>
        <w:t xml:space="preserve"> del Decreto 2555 de 2010</w:t>
      </w:r>
      <w:r w:rsidRPr="001F1301">
        <w:rPr>
          <w:rFonts w:ascii="Verdana" w:hAnsi="Verdana" w:cs="Arial"/>
          <w:bCs/>
          <w:sz w:val="20"/>
          <w:szCs w:val="20"/>
        </w:rPr>
        <w:t>, cuando</w:t>
      </w:r>
      <w:r w:rsidRPr="008D62A4">
        <w:rPr>
          <w:rFonts w:ascii="Verdana" w:hAnsi="Verdana" w:cs="Arial"/>
          <w:bCs/>
          <w:sz w:val="20"/>
          <w:szCs w:val="20"/>
        </w:rPr>
        <w:t xml:space="preserve"> el valor de una exposición excluida se considere como gran exposición en los términos del presente </w:t>
      </w:r>
      <w:r w:rsidR="00425E38">
        <w:rPr>
          <w:rFonts w:ascii="Verdana" w:hAnsi="Verdana" w:cs="Arial"/>
          <w:bCs/>
          <w:sz w:val="20"/>
          <w:szCs w:val="20"/>
        </w:rPr>
        <w:t>c</w:t>
      </w:r>
      <w:r w:rsidRPr="008D62A4">
        <w:rPr>
          <w:rFonts w:ascii="Verdana" w:hAnsi="Verdana" w:cs="Arial"/>
          <w:bCs/>
          <w:sz w:val="20"/>
          <w:szCs w:val="20"/>
        </w:rPr>
        <w:t>apítulo, las entidades vigiladas deben definir y establecer límites internos de exposición, teniendo en cuenta, como mínimo, los siguientes lineamientos:</w:t>
      </w:r>
    </w:p>
    <w:p w14:paraId="2DE78B67" w14:textId="77777777" w:rsidR="00BE5125" w:rsidRPr="008D62A4" w:rsidRDefault="00BE5125" w:rsidP="00BE5125">
      <w:pPr>
        <w:spacing w:after="0" w:line="240" w:lineRule="auto"/>
        <w:jc w:val="both"/>
        <w:rPr>
          <w:rFonts w:ascii="Verdana" w:hAnsi="Verdana" w:cs="Arial"/>
          <w:bCs/>
          <w:sz w:val="20"/>
          <w:szCs w:val="20"/>
        </w:rPr>
      </w:pPr>
    </w:p>
    <w:p w14:paraId="26DBAC9C" w14:textId="67ADF9E2" w:rsidR="00BE5125" w:rsidRPr="008D62A4" w:rsidRDefault="00BE5125" w:rsidP="00C45335">
      <w:pPr>
        <w:numPr>
          <w:ilvl w:val="0"/>
          <w:numId w:val="13"/>
        </w:numPr>
        <w:spacing w:after="0" w:line="240" w:lineRule="auto"/>
        <w:ind w:left="567" w:hanging="567"/>
        <w:jc w:val="both"/>
        <w:rPr>
          <w:rFonts w:ascii="Verdana" w:hAnsi="Verdana" w:cs="Arial"/>
          <w:bCs/>
          <w:sz w:val="20"/>
          <w:szCs w:val="20"/>
        </w:rPr>
      </w:pPr>
      <w:r w:rsidRPr="008D62A4">
        <w:rPr>
          <w:rFonts w:ascii="Verdana" w:hAnsi="Verdana" w:cs="Arial"/>
          <w:bCs/>
          <w:sz w:val="20"/>
          <w:szCs w:val="20"/>
        </w:rPr>
        <w:t>Se debe establecer un límite global respecto de cada fondo de garantía, de forma consistente con la estrategia de negocio y el marco de apetito de riesgo de la entidad.</w:t>
      </w:r>
    </w:p>
    <w:p w14:paraId="5479AD5E" w14:textId="77777777" w:rsidR="00BE5125" w:rsidRPr="008D62A4" w:rsidRDefault="00BE5125" w:rsidP="00BE5125">
      <w:pPr>
        <w:spacing w:after="0" w:line="240" w:lineRule="auto"/>
        <w:jc w:val="both"/>
        <w:rPr>
          <w:rFonts w:ascii="Verdana" w:hAnsi="Verdana" w:cs="Arial"/>
          <w:bCs/>
          <w:sz w:val="20"/>
          <w:szCs w:val="20"/>
        </w:rPr>
      </w:pPr>
    </w:p>
    <w:p w14:paraId="5AFCE10A" w14:textId="77777777" w:rsidR="00BE5125" w:rsidRPr="008D62A4" w:rsidRDefault="00BE5125" w:rsidP="00C45335">
      <w:pPr>
        <w:numPr>
          <w:ilvl w:val="0"/>
          <w:numId w:val="13"/>
        </w:numPr>
        <w:spacing w:after="0" w:line="240" w:lineRule="auto"/>
        <w:ind w:left="567" w:hanging="567"/>
        <w:jc w:val="both"/>
        <w:rPr>
          <w:rFonts w:ascii="Verdana" w:hAnsi="Verdana" w:cs="Arial"/>
          <w:bCs/>
          <w:sz w:val="20"/>
          <w:szCs w:val="20"/>
        </w:rPr>
      </w:pPr>
      <w:r w:rsidRPr="008D62A4">
        <w:rPr>
          <w:rFonts w:ascii="Verdana" w:hAnsi="Verdana" w:cs="Arial"/>
          <w:bCs/>
          <w:sz w:val="20"/>
          <w:szCs w:val="20"/>
        </w:rPr>
        <w:t>Se deben establecer sublímites en función de la ubicación geográfica de las exposiciones garantizadas, con el fin de que las exposiciones respaldadas por un mismo fondo de garantías no se concentren en un mismo territorio, de forma consistente con la estrategia de negocio y el marco de apetito de riesgo de la entidad, siempre que se gestione adecuadamente el riesgo de concentración.</w:t>
      </w:r>
    </w:p>
    <w:p w14:paraId="32521A12" w14:textId="77777777" w:rsidR="00BE5125" w:rsidRPr="008D62A4" w:rsidRDefault="00BE5125" w:rsidP="00C45335">
      <w:pPr>
        <w:spacing w:after="0" w:line="240" w:lineRule="auto"/>
        <w:ind w:left="567" w:hanging="567"/>
        <w:jc w:val="both"/>
        <w:rPr>
          <w:rFonts w:ascii="Verdana" w:hAnsi="Verdana" w:cs="Arial"/>
          <w:bCs/>
          <w:sz w:val="20"/>
          <w:szCs w:val="20"/>
        </w:rPr>
      </w:pPr>
    </w:p>
    <w:p w14:paraId="12BEEB6D" w14:textId="3903B89E" w:rsidR="00BE5125" w:rsidRPr="008D62A4" w:rsidRDefault="00BE5125" w:rsidP="00C45335">
      <w:pPr>
        <w:numPr>
          <w:ilvl w:val="0"/>
          <w:numId w:val="13"/>
        </w:numPr>
        <w:spacing w:after="0" w:line="240" w:lineRule="auto"/>
        <w:ind w:left="567" w:hanging="567"/>
        <w:jc w:val="both"/>
        <w:rPr>
          <w:rFonts w:ascii="Verdana" w:hAnsi="Verdana" w:cs="Arial"/>
          <w:bCs/>
          <w:sz w:val="20"/>
          <w:szCs w:val="20"/>
        </w:rPr>
      </w:pPr>
      <w:r w:rsidRPr="008D62A4">
        <w:rPr>
          <w:rFonts w:ascii="Verdana" w:hAnsi="Verdana" w:cs="Arial"/>
          <w:bCs/>
          <w:sz w:val="20"/>
          <w:szCs w:val="20"/>
        </w:rPr>
        <w:t xml:space="preserve">Se deben establecer sublímites por sectores o subsectores o actividades a los que pertenecen o desarrollan los deudores garantizados, con el fin de que las </w:t>
      </w:r>
      <w:r w:rsidRPr="008D62A4">
        <w:rPr>
          <w:rFonts w:ascii="Verdana" w:hAnsi="Verdana" w:cs="Arial"/>
          <w:bCs/>
          <w:sz w:val="20"/>
          <w:szCs w:val="20"/>
        </w:rPr>
        <w:lastRenderedPageBreak/>
        <w:t>exposiciones respaldadas por un mismo fondo de garantías no se concentren. Las entidades deben establecer estos sublímites con la granularidad requerida para controlar de forma separada la exposición en actividades económicas diferentes, de forma consistente con la estrategia de negocio y el marco de apetito de riesgo de la entidad, siempre que se gestione adecuadamente el riesgo de concentración.</w:t>
      </w:r>
    </w:p>
    <w:p w14:paraId="415A61A1" w14:textId="77777777" w:rsidR="00BE5125" w:rsidRPr="008D62A4" w:rsidRDefault="00BE5125" w:rsidP="00BE5125">
      <w:pPr>
        <w:spacing w:after="0" w:line="240" w:lineRule="auto"/>
        <w:jc w:val="both"/>
        <w:rPr>
          <w:rFonts w:ascii="Verdana" w:hAnsi="Verdana" w:cs="Arial"/>
          <w:bCs/>
          <w:sz w:val="20"/>
          <w:szCs w:val="20"/>
        </w:rPr>
      </w:pPr>
    </w:p>
    <w:p w14:paraId="64DD93C4" w14:textId="511581A0" w:rsidR="00C45335" w:rsidRDefault="00C45335" w:rsidP="00C45335">
      <w:pPr>
        <w:tabs>
          <w:tab w:val="left" w:pos="540"/>
        </w:tabs>
        <w:spacing w:after="0" w:line="240" w:lineRule="auto"/>
        <w:jc w:val="both"/>
        <w:rPr>
          <w:rFonts w:ascii="Verdana" w:hAnsi="Verdana" w:cs="Arial"/>
          <w:bCs/>
          <w:sz w:val="20"/>
          <w:szCs w:val="20"/>
        </w:rPr>
      </w:pPr>
      <w:r>
        <w:rPr>
          <w:rFonts w:ascii="Verdana" w:hAnsi="Verdana" w:cs="Arial"/>
          <w:bCs/>
          <w:sz w:val="20"/>
          <w:szCs w:val="20"/>
        </w:rPr>
        <w:t>2.10.2.</w:t>
      </w:r>
      <w:r w:rsidR="00E86223">
        <w:rPr>
          <w:rFonts w:ascii="Verdana" w:hAnsi="Verdana" w:cs="Arial"/>
          <w:bCs/>
          <w:sz w:val="20"/>
          <w:szCs w:val="20"/>
        </w:rPr>
        <w:t>46</w:t>
      </w:r>
      <w:r>
        <w:rPr>
          <w:rFonts w:ascii="Verdana" w:hAnsi="Verdana" w:cs="Arial"/>
          <w:bCs/>
          <w:sz w:val="20"/>
          <w:szCs w:val="20"/>
        </w:rPr>
        <w:t>.</w:t>
      </w:r>
    </w:p>
    <w:p w14:paraId="43603DB2" w14:textId="6BAB433C" w:rsidR="00BE5125" w:rsidRPr="00C45335" w:rsidRDefault="00BE5125" w:rsidP="00C45335">
      <w:pPr>
        <w:spacing w:after="0" w:line="240" w:lineRule="auto"/>
        <w:jc w:val="both"/>
        <w:rPr>
          <w:rFonts w:ascii="Verdana" w:hAnsi="Verdana" w:cs="Arial"/>
          <w:bCs/>
          <w:sz w:val="20"/>
          <w:szCs w:val="20"/>
        </w:rPr>
      </w:pPr>
      <w:r w:rsidRPr="00C45335">
        <w:rPr>
          <w:rFonts w:ascii="Verdana" w:hAnsi="Verdana" w:cs="Arial"/>
          <w:bCs/>
          <w:sz w:val="20"/>
          <w:szCs w:val="20"/>
        </w:rPr>
        <w:t xml:space="preserve">Las entidades deben revisar los límites y sublímites definidos de acuerdo con el presente </w:t>
      </w:r>
      <w:r w:rsidR="005E02E5">
        <w:rPr>
          <w:rFonts w:ascii="Verdana" w:hAnsi="Verdana" w:cs="Arial"/>
          <w:bCs/>
          <w:sz w:val="20"/>
          <w:szCs w:val="20"/>
        </w:rPr>
        <w:t>capítulo</w:t>
      </w:r>
      <w:r w:rsidRPr="00C45335">
        <w:rPr>
          <w:rFonts w:ascii="Verdana" w:hAnsi="Verdana" w:cs="Arial"/>
          <w:bCs/>
          <w:sz w:val="20"/>
          <w:szCs w:val="20"/>
        </w:rPr>
        <w:t xml:space="preserve"> con una periodicidad por lo menos anual.</w:t>
      </w:r>
    </w:p>
    <w:p w14:paraId="5E2BB831" w14:textId="77777777" w:rsidR="00BE5125" w:rsidRPr="00C45335" w:rsidRDefault="00BE5125" w:rsidP="00BE5125">
      <w:pPr>
        <w:spacing w:after="0" w:line="240" w:lineRule="auto"/>
        <w:jc w:val="both"/>
        <w:rPr>
          <w:rFonts w:ascii="Verdana" w:hAnsi="Verdana" w:cs="Arial"/>
          <w:bCs/>
          <w:sz w:val="20"/>
          <w:szCs w:val="20"/>
        </w:rPr>
      </w:pPr>
    </w:p>
    <w:p w14:paraId="19BCEDF7" w14:textId="05DD13AB" w:rsidR="00C45335" w:rsidRDefault="00C45335" w:rsidP="00C45335">
      <w:pPr>
        <w:tabs>
          <w:tab w:val="left" w:pos="540"/>
        </w:tabs>
        <w:spacing w:after="0" w:line="240" w:lineRule="auto"/>
        <w:jc w:val="both"/>
        <w:rPr>
          <w:rFonts w:ascii="Verdana" w:hAnsi="Verdana" w:cs="Arial"/>
          <w:bCs/>
          <w:sz w:val="20"/>
          <w:szCs w:val="20"/>
        </w:rPr>
      </w:pPr>
      <w:r>
        <w:rPr>
          <w:rFonts w:ascii="Verdana" w:hAnsi="Verdana" w:cs="Arial"/>
          <w:bCs/>
          <w:sz w:val="20"/>
          <w:szCs w:val="20"/>
        </w:rPr>
        <w:t>2.10.2.</w:t>
      </w:r>
      <w:r w:rsidR="00E86223">
        <w:rPr>
          <w:rFonts w:ascii="Verdana" w:hAnsi="Verdana" w:cs="Arial"/>
          <w:bCs/>
          <w:sz w:val="20"/>
          <w:szCs w:val="20"/>
        </w:rPr>
        <w:t>47</w:t>
      </w:r>
      <w:r>
        <w:rPr>
          <w:rFonts w:ascii="Verdana" w:hAnsi="Verdana" w:cs="Arial"/>
          <w:bCs/>
          <w:sz w:val="20"/>
          <w:szCs w:val="20"/>
        </w:rPr>
        <w:t>.</w:t>
      </w:r>
    </w:p>
    <w:p w14:paraId="4E462A88" w14:textId="6E4FFA19" w:rsidR="00BE5125" w:rsidRPr="00C45335" w:rsidRDefault="00BE5125" w:rsidP="00C45335">
      <w:pPr>
        <w:spacing w:after="0" w:line="240" w:lineRule="auto"/>
        <w:jc w:val="both"/>
        <w:rPr>
          <w:rFonts w:ascii="Verdana" w:hAnsi="Verdana" w:cs="Arial"/>
          <w:bCs/>
          <w:sz w:val="20"/>
          <w:szCs w:val="20"/>
        </w:rPr>
      </w:pPr>
      <w:r w:rsidRPr="00C45335">
        <w:rPr>
          <w:rFonts w:ascii="Verdana" w:hAnsi="Verdana" w:cs="Arial"/>
          <w:bCs/>
          <w:sz w:val="20"/>
          <w:szCs w:val="20"/>
        </w:rPr>
        <w:t>Las entidades deben documentar y mantener a disposición de la SFC el análisis realizado para la definición de los límites internos aquí señalados.</w:t>
      </w:r>
    </w:p>
    <w:p w14:paraId="2AD0F157" w14:textId="77777777" w:rsidR="00BE5125" w:rsidRDefault="00BE5125" w:rsidP="001B7405">
      <w:pPr>
        <w:spacing w:after="0" w:line="240" w:lineRule="auto"/>
        <w:jc w:val="both"/>
        <w:rPr>
          <w:rFonts w:ascii="Verdana" w:hAnsi="Verdana" w:cs="Arial"/>
          <w:b/>
          <w:sz w:val="20"/>
          <w:szCs w:val="20"/>
        </w:rPr>
      </w:pPr>
    </w:p>
    <w:p w14:paraId="6988E97F" w14:textId="02163013" w:rsidR="00CF1B34" w:rsidRDefault="003C6B51" w:rsidP="003C6B51">
      <w:pPr>
        <w:spacing w:after="0" w:line="240" w:lineRule="auto"/>
        <w:jc w:val="both"/>
        <w:rPr>
          <w:rFonts w:ascii="Verdana" w:hAnsi="Verdana" w:cs="Arial"/>
          <w:b/>
          <w:sz w:val="20"/>
          <w:szCs w:val="20"/>
        </w:rPr>
      </w:pPr>
      <w:r w:rsidRPr="00142DAA">
        <w:rPr>
          <w:rFonts w:ascii="Verdana" w:hAnsi="Verdana" w:cs="Arial"/>
          <w:b/>
          <w:sz w:val="20"/>
          <w:szCs w:val="20"/>
        </w:rPr>
        <w:t>VALOR DE EXPOSICIÓN</w:t>
      </w:r>
    </w:p>
    <w:p w14:paraId="39032DCD" w14:textId="77777777" w:rsidR="003C6B51" w:rsidRPr="00897CE6" w:rsidRDefault="003C6B51" w:rsidP="003C6B51">
      <w:pPr>
        <w:spacing w:after="0" w:line="240" w:lineRule="auto"/>
        <w:jc w:val="both"/>
        <w:rPr>
          <w:rFonts w:ascii="Verdana" w:hAnsi="Verdana" w:cs="Arial"/>
          <w:b/>
          <w:sz w:val="20"/>
          <w:szCs w:val="20"/>
        </w:rPr>
      </w:pPr>
    </w:p>
    <w:p w14:paraId="165FF726" w14:textId="49B85A6A" w:rsidR="001B7405" w:rsidRPr="001B7405" w:rsidRDefault="001B7405" w:rsidP="001B7405">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2.10.2.</w:t>
      </w:r>
      <w:r>
        <w:rPr>
          <w:rFonts w:ascii="Verdana" w:hAnsi="Verdana" w:cs="Arial"/>
          <w:bCs/>
          <w:sz w:val="20"/>
          <w:szCs w:val="20"/>
        </w:rPr>
        <w:t>4</w:t>
      </w:r>
      <w:r w:rsidR="00FC5F72">
        <w:rPr>
          <w:rFonts w:ascii="Verdana" w:hAnsi="Verdana" w:cs="Arial"/>
          <w:bCs/>
          <w:sz w:val="20"/>
          <w:szCs w:val="20"/>
        </w:rPr>
        <w:t>8</w:t>
      </w:r>
      <w:r w:rsidRPr="001B7405">
        <w:rPr>
          <w:rFonts w:ascii="Verdana" w:hAnsi="Verdana" w:cs="Arial"/>
          <w:bCs/>
          <w:sz w:val="20"/>
          <w:szCs w:val="20"/>
        </w:rPr>
        <w:t>.</w:t>
      </w:r>
    </w:p>
    <w:p w14:paraId="44729784" w14:textId="6A6A8E4A" w:rsidR="00CF1B34" w:rsidRPr="00897CE6" w:rsidRDefault="00CF1B34" w:rsidP="2A78066E">
      <w:pPr>
        <w:tabs>
          <w:tab w:val="left" w:pos="540"/>
        </w:tabs>
        <w:spacing w:after="0" w:line="240" w:lineRule="auto"/>
        <w:jc w:val="both"/>
        <w:rPr>
          <w:rFonts w:ascii="Verdana" w:hAnsi="Verdana" w:cs="Arial"/>
          <w:sz w:val="20"/>
          <w:szCs w:val="20"/>
        </w:rPr>
      </w:pPr>
      <w:r w:rsidRPr="2A78066E">
        <w:rPr>
          <w:rFonts w:ascii="Verdana" w:hAnsi="Verdana" w:cs="Arial"/>
          <w:sz w:val="20"/>
          <w:szCs w:val="20"/>
        </w:rPr>
        <w:t>De acuerdo con lo dispuesto en el artículo 2.1.2.1.3 del Decreto 2555 de 2010, el valor de exposición de las operaciones computables señaladas en</w:t>
      </w:r>
      <w:r w:rsidR="00F26324">
        <w:rPr>
          <w:rFonts w:ascii="Verdana" w:hAnsi="Verdana" w:cs="Arial"/>
          <w:sz w:val="20"/>
          <w:szCs w:val="20"/>
        </w:rPr>
        <w:t>tre los párrafos 2.10.2.</w:t>
      </w:r>
      <w:r w:rsidR="00167FC2">
        <w:rPr>
          <w:rFonts w:ascii="Verdana" w:hAnsi="Verdana" w:cs="Arial"/>
          <w:sz w:val="20"/>
          <w:szCs w:val="20"/>
        </w:rPr>
        <w:t>3</w:t>
      </w:r>
      <w:r w:rsidR="00FC5F72">
        <w:rPr>
          <w:rFonts w:ascii="Verdana" w:hAnsi="Verdana" w:cs="Arial"/>
          <w:sz w:val="20"/>
          <w:szCs w:val="20"/>
        </w:rPr>
        <w:t>1</w:t>
      </w:r>
      <w:r w:rsidR="00167FC2">
        <w:rPr>
          <w:rFonts w:ascii="Verdana" w:hAnsi="Verdana" w:cs="Arial"/>
          <w:sz w:val="20"/>
          <w:szCs w:val="20"/>
        </w:rPr>
        <w:t>. y 2.10.2.4</w:t>
      </w:r>
      <w:r w:rsidR="001348CE">
        <w:rPr>
          <w:rFonts w:ascii="Verdana" w:hAnsi="Verdana" w:cs="Arial"/>
          <w:sz w:val="20"/>
          <w:szCs w:val="20"/>
        </w:rPr>
        <w:t>3</w:t>
      </w:r>
      <w:r w:rsidR="00167FC2">
        <w:rPr>
          <w:rFonts w:ascii="Verdana" w:hAnsi="Verdana" w:cs="Arial"/>
          <w:sz w:val="20"/>
          <w:szCs w:val="20"/>
        </w:rPr>
        <w:t>.</w:t>
      </w:r>
      <w:r w:rsidRPr="2A78066E">
        <w:rPr>
          <w:rFonts w:ascii="Verdana" w:hAnsi="Verdana" w:cs="Arial"/>
          <w:sz w:val="20"/>
          <w:szCs w:val="20"/>
        </w:rPr>
        <w:t xml:space="preserve"> se debe calcular de conformidad con las </w:t>
      </w:r>
      <w:r w:rsidR="00130946">
        <w:rPr>
          <w:rFonts w:ascii="Verdana" w:hAnsi="Verdana" w:cs="Arial"/>
          <w:sz w:val="20"/>
          <w:szCs w:val="20"/>
        </w:rPr>
        <w:t xml:space="preserve">siguientes </w:t>
      </w:r>
      <w:r w:rsidRPr="2A78066E">
        <w:rPr>
          <w:rFonts w:ascii="Verdana" w:hAnsi="Verdana" w:cs="Arial"/>
          <w:sz w:val="20"/>
          <w:szCs w:val="20"/>
        </w:rPr>
        <w:t>instrucciones.</w:t>
      </w:r>
    </w:p>
    <w:p w14:paraId="3601E050" w14:textId="77777777" w:rsidR="00E46E88" w:rsidRDefault="00E46E88" w:rsidP="00142DAA">
      <w:pPr>
        <w:tabs>
          <w:tab w:val="left" w:pos="540"/>
        </w:tabs>
        <w:spacing w:after="0" w:line="240" w:lineRule="auto"/>
        <w:jc w:val="both"/>
        <w:rPr>
          <w:rFonts w:ascii="Verdana" w:hAnsi="Verdana" w:cs="Arial"/>
          <w:bCs/>
          <w:sz w:val="20"/>
          <w:szCs w:val="20"/>
        </w:rPr>
      </w:pPr>
    </w:p>
    <w:p w14:paraId="0A277683" w14:textId="324E2717" w:rsidR="00142DAA" w:rsidRPr="001B7405" w:rsidRDefault="00142DAA" w:rsidP="00142DAA">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2.10.2.</w:t>
      </w:r>
      <w:r>
        <w:rPr>
          <w:rFonts w:ascii="Verdana" w:hAnsi="Verdana" w:cs="Arial"/>
          <w:bCs/>
          <w:sz w:val="20"/>
          <w:szCs w:val="20"/>
        </w:rPr>
        <w:t>4</w:t>
      </w:r>
      <w:r w:rsidR="004D6D3C">
        <w:rPr>
          <w:rFonts w:ascii="Verdana" w:hAnsi="Verdana" w:cs="Arial"/>
          <w:bCs/>
          <w:sz w:val="20"/>
          <w:szCs w:val="20"/>
        </w:rPr>
        <w:t>9</w:t>
      </w:r>
      <w:r w:rsidRPr="001B7405">
        <w:rPr>
          <w:rFonts w:ascii="Verdana" w:hAnsi="Verdana" w:cs="Arial"/>
          <w:bCs/>
          <w:sz w:val="20"/>
          <w:szCs w:val="20"/>
        </w:rPr>
        <w:t>.</w:t>
      </w:r>
    </w:p>
    <w:p w14:paraId="3CD4B805" w14:textId="243F3E13" w:rsidR="003C6B51" w:rsidRPr="009C2A39" w:rsidRDefault="00CF1B34" w:rsidP="009C2A39">
      <w:pPr>
        <w:jc w:val="both"/>
        <w:rPr>
          <w:rFonts w:ascii="Verdana" w:hAnsi="Verdana" w:cs="Arial"/>
          <w:sz w:val="20"/>
          <w:szCs w:val="20"/>
        </w:rPr>
      </w:pPr>
      <w:r w:rsidRPr="00897CE6">
        <w:rPr>
          <w:rFonts w:ascii="Verdana" w:hAnsi="Verdana" w:cs="Arial"/>
          <w:sz w:val="20"/>
          <w:szCs w:val="20"/>
        </w:rPr>
        <w:t xml:space="preserve">En todo caso, para efectos del control a los límites y de la reportería </w:t>
      </w:r>
      <w:r w:rsidR="00D9760F">
        <w:rPr>
          <w:rFonts w:ascii="Verdana" w:hAnsi="Verdana" w:cs="Arial"/>
          <w:sz w:val="20"/>
          <w:szCs w:val="20"/>
        </w:rPr>
        <w:t xml:space="preserve">de la información </w:t>
      </w:r>
      <w:r w:rsidRPr="00897CE6">
        <w:rPr>
          <w:rFonts w:ascii="Verdana" w:hAnsi="Verdana" w:cs="Arial"/>
          <w:sz w:val="20"/>
          <w:szCs w:val="20"/>
        </w:rPr>
        <w:t>a esta Superintendencia en los términos de la</w:t>
      </w:r>
      <w:r w:rsidR="006C2C41">
        <w:rPr>
          <w:rFonts w:ascii="Verdana" w:hAnsi="Verdana" w:cs="Arial"/>
          <w:sz w:val="20"/>
          <w:szCs w:val="20"/>
        </w:rPr>
        <w:t>s</w:t>
      </w:r>
      <w:r w:rsidRPr="00897CE6">
        <w:rPr>
          <w:rFonts w:ascii="Verdana" w:hAnsi="Verdana" w:cs="Arial"/>
          <w:sz w:val="20"/>
          <w:szCs w:val="20"/>
        </w:rPr>
        <w:t xml:space="preserve"> </w:t>
      </w:r>
      <w:r w:rsidR="006C2C41">
        <w:rPr>
          <w:rFonts w:ascii="Verdana" w:hAnsi="Verdana" w:cs="Arial"/>
          <w:sz w:val="20"/>
          <w:szCs w:val="20"/>
        </w:rPr>
        <w:t>p</w:t>
      </w:r>
      <w:r w:rsidRPr="00897CE6">
        <w:rPr>
          <w:rFonts w:ascii="Verdana" w:hAnsi="Verdana" w:cs="Arial"/>
          <w:bCs/>
          <w:sz w:val="20"/>
          <w:szCs w:val="20"/>
        </w:rPr>
        <w:t>roforma</w:t>
      </w:r>
      <w:r w:rsidR="006C2C41">
        <w:rPr>
          <w:rFonts w:ascii="Verdana" w:hAnsi="Verdana" w:cs="Arial"/>
          <w:bCs/>
          <w:sz w:val="20"/>
          <w:szCs w:val="20"/>
        </w:rPr>
        <w:t>s</w:t>
      </w:r>
      <w:r w:rsidRPr="00897CE6">
        <w:rPr>
          <w:rFonts w:ascii="Verdana" w:hAnsi="Verdana" w:cs="Arial"/>
          <w:bCs/>
          <w:sz w:val="20"/>
          <w:szCs w:val="20"/>
        </w:rPr>
        <w:t xml:space="preserve"> </w:t>
      </w:r>
      <w:r w:rsidR="00A42687">
        <w:rPr>
          <w:rStyle w:val="eop"/>
          <w:rFonts w:ascii="Verdana" w:hAnsi="Verdana" w:cs="Arial"/>
          <w:color w:val="000000"/>
          <w:sz w:val="20"/>
          <w:szCs w:val="20"/>
          <w:shd w:val="clear" w:color="auto" w:fill="FFFFFF"/>
        </w:rPr>
        <w:t>definida</w:t>
      </w:r>
      <w:r w:rsidR="006C2C41">
        <w:rPr>
          <w:rStyle w:val="eop"/>
          <w:rFonts w:ascii="Verdana" w:hAnsi="Verdana" w:cs="Arial"/>
          <w:color w:val="000000"/>
          <w:sz w:val="20"/>
          <w:szCs w:val="20"/>
          <w:shd w:val="clear" w:color="auto" w:fill="FFFFFF"/>
        </w:rPr>
        <w:t>s</w:t>
      </w:r>
      <w:r w:rsidR="00A42687">
        <w:rPr>
          <w:rStyle w:val="eop"/>
          <w:rFonts w:ascii="Verdana" w:hAnsi="Verdana" w:cs="Arial"/>
          <w:color w:val="000000"/>
          <w:sz w:val="20"/>
          <w:szCs w:val="20"/>
          <w:shd w:val="clear" w:color="auto" w:fill="FFFFFF"/>
        </w:rPr>
        <w:t xml:space="preserve"> por la SFC</w:t>
      </w:r>
      <w:r w:rsidRPr="00897CE6">
        <w:rPr>
          <w:rStyle w:val="eop"/>
          <w:rFonts w:ascii="Verdana" w:hAnsi="Verdana" w:cs="Arial"/>
          <w:color w:val="000000"/>
          <w:sz w:val="20"/>
          <w:szCs w:val="20"/>
          <w:shd w:val="clear" w:color="auto" w:fill="FFFFFF"/>
        </w:rPr>
        <w:t xml:space="preserve">, </w:t>
      </w:r>
      <w:r w:rsidRPr="00897CE6">
        <w:rPr>
          <w:rFonts w:ascii="Verdana" w:hAnsi="Verdana" w:cs="Arial"/>
          <w:sz w:val="20"/>
          <w:szCs w:val="20"/>
        </w:rPr>
        <w:t>si la exposición o las garantías se estipularon en dólares de los Estados Unidos de América (USD), el valor de las mismas se deberá multiplicar por la tasa representativa del mercado (TRM) certificada por la SFC, calculada el último día hábil del mes correspondiente al corte de información de reporte. Si la exposición o las garantías se estipularon en una moneda distinta del dólar de los Estados Unidos de América, el valor de la exposición se convierte a dicha moneda con base en las tasas de conversión de divisas publicadas para el día de la fecha de corte de reporte de la información en la página web del Banco Central Europeo (BCE), con 6 decimales, aproximado el último por el sistema de redondeo. Cuando la tasa de conversión de la divisa no se encuentre en la página web del Banco Central Europeo, se deberá tomar la tasa de conversión frente al dólar de los Estados Unidos de América (USD) publicada por el Banco Central del respectivo país. El valor así obtenido deberá multiplicarse por la tasa representativa del mercado (TRM) certificada por la SFC, calculada el último día hábil del mes correspondiente al corte de información de reporte.</w:t>
      </w:r>
    </w:p>
    <w:p w14:paraId="28E8182F" w14:textId="51ACF399" w:rsidR="003C6B51" w:rsidRDefault="00CF1B34" w:rsidP="009C2A39">
      <w:pPr>
        <w:spacing w:after="0" w:line="240" w:lineRule="auto"/>
        <w:jc w:val="both"/>
        <w:rPr>
          <w:rFonts w:ascii="Verdana" w:hAnsi="Verdana" w:cs="Arial"/>
          <w:b/>
          <w:sz w:val="20"/>
          <w:szCs w:val="20"/>
        </w:rPr>
      </w:pPr>
      <w:r w:rsidRPr="003C6B51">
        <w:rPr>
          <w:rFonts w:ascii="Verdana" w:hAnsi="Verdana" w:cs="Arial"/>
          <w:b/>
          <w:sz w:val="20"/>
          <w:szCs w:val="20"/>
        </w:rPr>
        <w:t>Exposiciones que no correspondan a contingencias o activos sujetos a riesgo de contraparte</w:t>
      </w:r>
    </w:p>
    <w:p w14:paraId="640614D6" w14:textId="77777777" w:rsidR="009C2A39" w:rsidRPr="009C2A39" w:rsidRDefault="009C2A39" w:rsidP="009C2A39">
      <w:pPr>
        <w:spacing w:after="0" w:line="240" w:lineRule="auto"/>
        <w:jc w:val="both"/>
        <w:rPr>
          <w:rFonts w:ascii="Verdana" w:hAnsi="Verdana" w:cs="Arial"/>
          <w:b/>
          <w:sz w:val="20"/>
          <w:szCs w:val="20"/>
        </w:rPr>
      </w:pPr>
    </w:p>
    <w:p w14:paraId="73851091" w14:textId="5F61CB86" w:rsidR="00142DAA" w:rsidRPr="001B7405" w:rsidRDefault="00142DAA" w:rsidP="00142DAA">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2.10.2.</w:t>
      </w:r>
      <w:r w:rsidR="00CE4808">
        <w:rPr>
          <w:rFonts w:ascii="Verdana" w:hAnsi="Verdana" w:cs="Arial"/>
          <w:bCs/>
          <w:sz w:val="20"/>
          <w:szCs w:val="20"/>
        </w:rPr>
        <w:t>50</w:t>
      </w:r>
      <w:r w:rsidRPr="001B7405">
        <w:rPr>
          <w:rFonts w:ascii="Verdana" w:hAnsi="Verdana" w:cs="Arial"/>
          <w:bCs/>
          <w:sz w:val="20"/>
          <w:szCs w:val="20"/>
        </w:rPr>
        <w:t>.</w:t>
      </w:r>
    </w:p>
    <w:p w14:paraId="4105D7D3" w14:textId="5D208707" w:rsidR="00CF1B34" w:rsidRPr="00897CE6" w:rsidRDefault="00CF1B34" w:rsidP="00CF1B34">
      <w:pPr>
        <w:jc w:val="both"/>
        <w:rPr>
          <w:rFonts w:ascii="Verdana" w:hAnsi="Verdana" w:cs="Arial"/>
          <w:bCs/>
          <w:sz w:val="20"/>
          <w:szCs w:val="20"/>
        </w:rPr>
      </w:pPr>
      <w:r w:rsidRPr="00897CE6">
        <w:rPr>
          <w:rFonts w:ascii="Verdana" w:hAnsi="Verdana" w:cs="Arial"/>
          <w:bCs/>
          <w:sz w:val="20"/>
          <w:szCs w:val="20"/>
        </w:rPr>
        <w:t xml:space="preserve">En consideración de lo previsto en el artículo 2.1.1.3.4 del Decreto 2555 de 2010, para efectos del límite de las grandes exposiciones el valor de exposición se calcula de acuerdo con la siguiente expresión: </w:t>
      </w:r>
    </w:p>
    <w:p w14:paraId="1835A122" w14:textId="77777777" w:rsidR="00CF1B34" w:rsidRPr="00897CE6" w:rsidRDefault="00CF1B34" w:rsidP="00CF1B34">
      <w:pPr>
        <w:jc w:val="both"/>
        <w:rPr>
          <w:rFonts w:ascii="Verdana" w:hAnsi="Verdana" w:cs="Arial"/>
          <w:bCs/>
          <w:sz w:val="20"/>
          <w:szCs w:val="20"/>
        </w:rPr>
      </w:pPr>
      <m:oMathPara>
        <m:oMath>
          <m:r>
            <w:rPr>
              <w:rFonts w:ascii="Cambria Math" w:hAnsi="Cambria Math" w:cs="Arial"/>
              <w:sz w:val="20"/>
              <w:szCs w:val="20"/>
            </w:rPr>
            <m:t>VE=max</m:t>
          </m:r>
          <m:d>
            <m:dPr>
              <m:begChr m:val="{"/>
              <m:endChr m:val="}"/>
              <m:ctrlPr>
                <w:rPr>
                  <w:rFonts w:ascii="Cambria Math" w:hAnsi="Cambria Math" w:cs="Arial"/>
                  <w:i/>
                  <w:sz w:val="20"/>
                  <w:szCs w:val="20"/>
                </w:rPr>
              </m:ctrlPr>
            </m:dPr>
            <m:e>
              <m:d>
                <m:dPr>
                  <m:ctrlPr>
                    <w:rPr>
                      <w:rFonts w:ascii="Cambria Math" w:hAnsi="Cambria Math" w:cs="Arial"/>
                      <w:i/>
                      <w:sz w:val="20"/>
                      <w:szCs w:val="20"/>
                    </w:rPr>
                  </m:ctrlPr>
                </m:dPr>
                <m:e>
                  <m:r>
                    <w:rPr>
                      <w:rFonts w:ascii="Cambria Math" w:hAnsi="Cambria Math" w:cs="Arial"/>
                      <w:sz w:val="20"/>
                      <w:szCs w:val="20"/>
                    </w:rPr>
                    <m:t>VB</m:t>
                  </m:r>
                  <m:d>
                    <m:dPr>
                      <m:ctrlPr>
                        <w:rPr>
                          <w:rFonts w:ascii="Cambria Math" w:hAnsi="Cambria Math" w:cs="Arial"/>
                          <w:bCs/>
                          <w:i/>
                          <w:sz w:val="20"/>
                          <w:szCs w:val="20"/>
                        </w:rPr>
                      </m:ctrlPr>
                    </m:dPr>
                    <m:e>
                      <m:r>
                        <w:rPr>
                          <w:rFonts w:ascii="Cambria Math" w:hAnsi="Cambria Math" w:cs="Arial"/>
                          <w:sz w:val="20"/>
                          <w:szCs w:val="20"/>
                        </w:rPr>
                        <m:t>1+</m:t>
                      </m:r>
                      <m:sSub>
                        <m:sSubPr>
                          <m:ctrlPr>
                            <w:rPr>
                              <w:rFonts w:ascii="Cambria Math" w:hAnsi="Cambria Math" w:cs="Arial"/>
                              <w:bCs/>
                              <w:i/>
                              <w:sz w:val="20"/>
                              <w:szCs w:val="20"/>
                            </w:rPr>
                          </m:ctrlPr>
                        </m:sSubPr>
                        <m:e>
                          <m:r>
                            <w:rPr>
                              <w:rFonts w:ascii="Cambria Math" w:hAnsi="Cambria Math" w:cs="Arial"/>
                              <w:sz w:val="20"/>
                              <w:szCs w:val="20"/>
                            </w:rPr>
                            <m:t>F</m:t>
                          </m:r>
                        </m:e>
                        <m:sub>
                          <m:r>
                            <w:rPr>
                              <w:rFonts w:ascii="Cambria Math" w:hAnsi="Cambria Math" w:cs="Arial"/>
                              <w:sz w:val="20"/>
                              <w:szCs w:val="20"/>
                            </w:rPr>
                            <m:t>a</m:t>
                          </m:r>
                        </m:sub>
                      </m:sSub>
                    </m:e>
                  </m:d>
                  <m:r>
                    <w:rPr>
                      <w:rFonts w:ascii="Cambria Math" w:hAnsi="Cambria Math" w:cs="Arial"/>
                      <w:sz w:val="20"/>
                      <w:szCs w:val="20"/>
                    </w:rPr>
                    <m:t>-G</m:t>
                  </m:r>
                  <m:d>
                    <m:dPr>
                      <m:ctrlPr>
                        <w:rPr>
                          <w:rFonts w:ascii="Cambria Math" w:hAnsi="Cambria Math" w:cs="Arial"/>
                          <w:i/>
                          <w:sz w:val="20"/>
                          <w:szCs w:val="20"/>
                        </w:rPr>
                      </m:ctrlPr>
                    </m:dPr>
                    <m:e>
                      <m:r>
                        <w:rPr>
                          <w:rFonts w:ascii="Cambria Math" w:hAnsi="Cambria Math" w:cs="Arial"/>
                          <w:sz w:val="20"/>
                          <w:szCs w:val="20"/>
                        </w:rPr>
                        <m:t>1-</m:t>
                      </m:r>
                      <m:sSub>
                        <m:sSubPr>
                          <m:ctrlPr>
                            <w:rPr>
                              <w:rFonts w:ascii="Cambria Math" w:hAnsi="Cambria Math" w:cs="Arial"/>
                              <w:bCs/>
                              <w:i/>
                              <w:sz w:val="20"/>
                              <w:szCs w:val="20"/>
                            </w:rPr>
                          </m:ctrlPr>
                        </m:sSubPr>
                        <m:e>
                          <m:r>
                            <w:rPr>
                              <w:rFonts w:ascii="Cambria Math" w:hAnsi="Cambria Math" w:cs="Arial"/>
                              <w:sz w:val="20"/>
                              <w:szCs w:val="20"/>
                            </w:rPr>
                            <m:t>F</m:t>
                          </m:r>
                        </m:e>
                        <m:sub>
                          <m:r>
                            <w:rPr>
                              <w:rFonts w:ascii="Cambria Math" w:hAnsi="Cambria Math" w:cs="Arial"/>
                              <w:sz w:val="20"/>
                              <w:szCs w:val="20"/>
                            </w:rPr>
                            <m:t>g</m:t>
                          </m:r>
                        </m:sub>
                      </m:sSub>
                      <m:r>
                        <w:rPr>
                          <w:rFonts w:ascii="Cambria Math" w:hAnsi="Cambria Math" w:cs="Arial"/>
                          <w:sz w:val="20"/>
                          <w:szCs w:val="20"/>
                        </w:rPr>
                        <m:t>-</m:t>
                      </m:r>
                      <m:sSub>
                        <m:sSubPr>
                          <m:ctrlPr>
                            <w:rPr>
                              <w:rFonts w:ascii="Cambria Math" w:hAnsi="Cambria Math" w:cs="Arial"/>
                              <w:bCs/>
                              <w:i/>
                              <w:sz w:val="20"/>
                              <w:szCs w:val="20"/>
                            </w:rPr>
                          </m:ctrlPr>
                        </m:sSubPr>
                        <m:e>
                          <m:r>
                            <w:rPr>
                              <w:rFonts w:ascii="Cambria Math" w:hAnsi="Cambria Math" w:cs="Arial"/>
                              <w:sz w:val="20"/>
                              <w:szCs w:val="20"/>
                            </w:rPr>
                            <m:t>F</m:t>
                          </m:r>
                        </m:e>
                        <m:sub>
                          <m:r>
                            <w:rPr>
                              <w:rFonts w:ascii="Cambria Math" w:hAnsi="Cambria Math" w:cs="Arial"/>
                              <w:sz w:val="20"/>
                              <w:szCs w:val="20"/>
                            </w:rPr>
                            <m:t>c</m:t>
                          </m:r>
                        </m:sub>
                      </m:sSub>
                    </m:e>
                  </m:d>
                </m:e>
              </m:d>
              <m:r>
                <w:rPr>
                  <w:rFonts w:ascii="Cambria Math" w:hAnsi="Cambria Math" w:cs="Arial"/>
                  <w:sz w:val="20"/>
                  <w:szCs w:val="20"/>
                </w:rPr>
                <m:t>;</m:t>
              </m:r>
              <m:d>
                <m:dPr>
                  <m:ctrlPr>
                    <w:rPr>
                      <w:rFonts w:ascii="Cambria Math" w:hAnsi="Cambria Math" w:cs="Arial"/>
                      <w:i/>
                      <w:sz w:val="20"/>
                      <w:szCs w:val="20"/>
                    </w:rPr>
                  </m:ctrlPr>
                </m:dPr>
                <m:e>
                  <m:r>
                    <w:rPr>
                      <w:rFonts w:ascii="Cambria Math" w:hAnsi="Cambria Math" w:cs="Arial"/>
                      <w:sz w:val="20"/>
                      <w:szCs w:val="20"/>
                    </w:rPr>
                    <m:t>0,2*VB</m:t>
                  </m:r>
                </m:e>
              </m:d>
            </m:e>
          </m:d>
        </m:oMath>
      </m:oMathPara>
    </w:p>
    <w:p w14:paraId="4CDAA8E7" w14:textId="77777777" w:rsidR="00CF1B34" w:rsidRPr="00897CE6" w:rsidRDefault="00CF1B34" w:rsidP="00CF1B34">
      <w:pPr>
        <w:jc w:val="both"/>
        <w:rPr>
          <w:rFonts w:ascii="Verdana" w:hAnsi="Verdana" w:cs="Arial"/>
          <w:bCs/>
          <w:sz w:val="20"/>
          <w:szCs w:val="20"/>
        </w:rPr>
      </w:pPr>
      <w:r w:rsidRPr="00897CE6">
        <w:rPr>
          <w:rFonts w:ascii="Verdana" w:hAnsi="Verdana" w:cs="Arial"/>
          <w:bCs/>
          <w:sz w:val="20"/>
          <w:szCs w:val="20"/>
        </w:rPr>
        <w:t>Donde:</w:t>
      </w:r>
    </w:p>
    <w:p w14:paraId="278287B9" w14:textId="77777777" w:rsidR="00CF1B34" w:rsidRPr="00897CE6" w:rsidRDefault="00CF1B34" w:rsidP="00CF1B34">
      <w:pPr>
        <w:ind w:left="567" w:hanging="567"/>
        <w:jc w:val="both"/>
        <w:rPr>
          <w:rFonts w:ascii="Verdana" w:hAnsi="Verdana" w:cs="Arial"/>
          <w:bCs/>
          <w:sz w:val="20"/>
          <w:szCs w:val="20"/>
        </w:rPr>
      </w:pPr>
      <m:oMath>
        <m:r>
          <w:rPr>
            <w:rFonts w:ascii="Cambria Math" w:hAnsi="Cambria Math" w:cs="Arial"/>
            <w:sz w:val="20"/>
            <w:szCs w:val="20"/>
          </w:rPr>
          <m:t>VE</m:t>
        </m:r>
      </m:oMath>
      <w:r w:rsidRPr="00897CE6">
        <w:rPr>
          <w:rFonts w:ascii="Verdana" w:hAnsi="Verdana" w:cs="Arial"/>
          <w:bCs/>
          <w:sz w:val="20"/>
          <w:szCs w:val="20"/>
        </w:rPr>
        <w:t xml:space="preserve">: </w:t>
      </w:r>
      <w:r w:rsidRPr="00897CE6">
        <w:rPr>
          <w:rFonts w:ascii="Verdana" w:hAnsi="Verdana" w:cs="Arial"/>
          <w:bCs/>
          <w:sz w:val="20"/>
          <w:szCs w:val="20"/>
        </w:rPr>
        <w:tab/>
        <w:t xml:space="preserve">Es el valor de exposición que debe utilizarse para efectos del control a las grandes exposiciones y concentración de riesgos. En todos los casos, </w:t>
      </w:r>
      <w:r w:rsidRPr="00897CE6">
        <w:rPr>
          <w:rFonts w:ascii="Verdana" w:hAnsi="Verdana" w:cs="Arial"/>
          <w:bCs/>
          <w:i/>
          <w:iCs/>
          <w:sz w:val="20"/>
          <w:szCs w:val="20"/>
        </w:rPr>
        <w:t xml:space="preserve">VE </w:t>
      </w:r>
      <w:r w:rsidRPr="00897CE6">
        <w:rPr>
          <w:rFonts w:ascii="Verdana" w:hAnsi="Verdana" w:cs="Arial"/>
          <w:bCs/>
          <w:sz w:val="20"/>
          <w:szCs w:val="20"/>
        </w:rPr>
        <w:t xml:space="preserve">debe ser igual o mayor al 20% de </w:t>
      </w:r>
      <w:r w:rsidRPr="00897CE6">
        <w:rPr>
          <w:rFonts w:ascii="Verdana" w:hAnsi="Verdana" w:cs="Arial"/>
          <w:bCs/>
          <w:i/>
          <w:iCs/>
          <w:sz w:val="20"/>
          <w:szCs w:val="20"/>
        </w:rPr>
        <w:t>VB</w:t>
      </w:r>
      <w:r w:rsidRPr="00897CE6">
        <w:rPr>
          <w:rFonts w:ascii="Verdana" w:hAnsi="Verdana" w:cs="Arial"/>
          <w:bCs/>
          <w:sz w:val="20"/>
          <w:szCs w:val="20"/>
        </w:rPr>
        <w:t xml:space="preserve">. </w:t>
      </w:r>
    </w:p>
    <w:p w14:paraId="1A1E4B89" w14:textId="71E6C476" w:rsidR="00CF1B34" w:rsidRPr="00897CE6" w:rsidRDefault="00CF1B34" w:rsidP="00CF1B34">
      <w:pPr>
        <w:ind w:left="567" w:hanging="567"/>
        <w:jc w:val="both"/>
        <w:rPr>
          <w:rFonts w:ascii="Verdana" w:hAnsi="Verdana" w:cs="Arial"/>
          <w:bCs/>
          <w:sz w:val="20"/>
          <w:szCs w:val="20"/>
        </w:rPr>
      </w:pPr>
      <m:oMath>
        <m:r>
          <w:rPr>
            <w:rFonts w:ascii="Cambria Math" w:hAnsi="Cambria Math" w:cs="Arial"/>
            <w:sz w:val="20"/>
            <w:szCs w:val="20"/>
          </w:rPr>
          <m:t>VB</m:t>
        </m:r>
      </m:oMath>
      <w:r w:rsidRPr="00897CE6">
        <w:rPr>
          <w:rFonts w:ascii="Verdana" w:hAnsi="Verdana" w:cs="Arial"/>
          <w:bCs/>
          <w:sz w:val="20"/>
          <w:szCs w:val="20"/>
        </w:rPr>
        <w:t xml:space="preserve">: </w:t>
      </w:r>
      <w:r w:rsidRPr="00897CE6">
        <w:rPr>
          <w:rFonts w:ascii="Verdana" w:hAnsi="Verdana" w:cs="Arial"/>
          <w:bCs/>
          <w:sz w:val="20"/>
          <w:szCs w:val="20"/>
        </w:rPr>
        <w:tab/>
        <w:t xml:space="preserve">Es el valor de la exposición, el cual corresponde al saldo contable de la exposición neto de provisiones individuales. Esta regla es aplicable a todos los activos y exposiciones sujetas al control previsto en el Decreto </w:t>
      </w:r>
      <w:r w:rsidR="006E0737" w:rsidRPr="221AB16D">
        <w:rPr>
          <w:rFonts w:ascii="Verdana" w:hAnsi="Verdana" w:cs="Arial"/>
          <w:sz w:val="20"/>
          <w:szCs w:val="20"/>
        </w:rPr>
        <w:t xml:space="preserve">2555 de 2010, </w:t>
      </w:r>
      <w:r w:rsidR="00641394">
        <w:rPr>
          <w:rFonts w:ascii="Verdana" w:hAnsi="Verdana" w:cs="Arial"/>
          <w:bCs/>
          <w:sz w:val="20"/>
          <w:szCs w:val="20"/>
        </w:rPr>
        <w:t xml:space="preserve">modificado por el </w:t>
      </w:r>
      <w:r w:rsidRPr="00897CE6">
        <w:rPr>
          <w:rFonts w:ascii="Verdana" w:hAnsi="Verdana" w:cs="Arial"/>
          <w:bCs/>
          <w:sz w:val="20"/>
          <w:szCs w:val="20"/>
        </w:rPr>
        <w:t>1533 de 2022</w:t>
      </w:r>
      <w:r w:rsidR="00641394">
        <w:rPr>
          <w:rFonts w:ascii="Verdana" w:hAnsi="Verdana" w:cs="Arial"/>
          <w:bCs/>
          <w:sz w:val="20"/>
          <w:szCs w:val="20"/>
        </w:rPr>
        <w:t xml:space="preserve"> </w:t>
      </w:r>
      <w:r w:rsidR="00641394">
        <w:rPr>
          <w:rFonts w:ascii="Verdana" w:hAnsi="Verdana" w:cs="Arial"/>
          <w:sz w:val="20"/>
          <w:szCs w:val="20"/>
        </w:rPr>
        <w:t xml:space="preserve">y demás normas que los </w:t>
      </w:r>
      <w:r w:rsidR="00641394" w:rsidRPr="2A78066E">
        <w:rPr>
          <w:rFonts w:ascii="Verdana" w:hAnsi="Verdana" w:cs="Arial"/>
          <w:sz w:val="20"/>
          <w:szCs w:val="20"/>
        </w:rPr>
        <w:t>modifiquen, sustituyan o adicionen</w:t>
      </w:r>
      <w:r w:rsidRPr="00897CE6">
        <w:rPr>
          <w:rFonts w:ascii="Verdana" w:hAnsi="Verdana" w:cs="Arial"/>
          <w:bCs/>
          <w:sz w:val="20"/>
          <w:szCs w:val="20"/>
        </w:rPr>
        <w:t>, incluyendo la exposición por inversiones en patrimonios autónomos, fondos y otras estructuras o vehículos de inversión, y la exposición respecto de los garantes de otras operaciones.</w:t>
      </w:r>
    </w:p>
    <w:p w14:paraId="4824F5FD" w14:textId="23BC272C" w:rsidR="00FB321D" w:rsidRDefault="00CF1B34" w:rsidP="00FB321D">
      <w:pPr>
        <w:tabs>
          <w:tab w:val="left" w:pos="540"/>
        </w:tabs>
        <w:spacing w:after="0" w:line="240" w:lineRule="auto"/>
        <w:ind w:left="567" w:hanging="567"/>
        <w:jc w:val="both"/>
        <w:rPr>
          <w:rFonts w:ascii="Verdana" w:hAnsi="Verdana" w:cs="Arial"/>
          <w:bCs/>
          <w:sz w:val="20"/>
          <w:szCs w:val="20"/>
        </w:rPr>
      </w:pPr>
      <m:oMath>
        <m:r>
          <w:rPr>
            <w:rFonts w:ascii="Cambria Math" w:hAnsi="Cambria Math" w:cs="Arial"/>
            <w:sz w:val="20"/>
            <w:szCs w:val="20"/>
          </w:rPr>
          <m:t>G</m:t>
        </m:r>
      </m:oMath>
      <w:r w:rsidRPr="00897CE6">
        <w:rPr>
          <w:rFonts w:ascii="Verdana" w:hAnsi="Verdana" w:cs="Arial"/>
          <w:bCs/>
          <w:sz w:val="20"/>
          <w:szCs w:val="20"/>
        </w:rPr>
        <w:t xml:space="preserve">: </w:t>
      </w:r>
      <w:r w:rsidRPr="00897CE6">
        <w:rPr>
          <w:rFonts w:ascii="Verdana" w:hAnsi="Verdana" w:cs="Arial"/>
          <w:bCs/>
          <w:sz w:val="20"/>
          <w:szCs w:val="20"/>
        </w:rPr>
        <w:tab/>
        <w:t xml:space="preserve">Es el valor de mercado de la garantía. Estas garantías deben cumplir los requisitos previstos </w:t>
      </w:r>
      <w:r w:rsidR="00536D67">
        <w:rPr>
          <w:rFonts w:ascii="Verdana" w:hAnsi="Verdana" w:cs="Arial"/>
          <w:bCs/>
          <w:sz w:val="20"/>
          <w:szCs w:val="20"/>
        </w:rPr>
        <w:t>entre los párrafos 2.10.2</w:t>
      </w:r>
      <w:r w:rsidR="009501B2">
        <w:rPr>
          <w:rFonts w:ascii="Verdana" w:hAnsi="Verdana" w:cs="Arial"/>
          <w:bCs/>
          <w:sz w:val="20"/>
          <w:szCs w:val="20"/>
        </w:rPr>
        <w:t>.</w:t>
      </w:r>
      <w:r w:rsidR="00391E88">
        <w:rPr>
          <w:rFonts w:ascii="Verdana" w:hAnsi="Verdana" w:cs="Arial"/>
          <w:bCs/>
          <w:sz w:val="20"/>
          <w:szCs w:val="20"/>
        </w:rPr>
        <w:t>54</w:t>
      </w:r>
      <w:r w:rsidR="009501B2">
        <w:rPr>
          <w:rFonts w:ascii="Verdana" w:hAnsi="Verdana" w:cs="Arial"/>
          <w:bCs/>
          <w:sz w:val="20"/>
          <w:szCs w:val="20"/>
        </w:rPr>
        <w:t>. y 2.10.2.</w:t>
      </w:r>
      <w:r w:rsidR="00391E88">
        <w:rPr>
          <w:rFonts w:ascii="Verdana" w:hAnsi="Verdana" w:cs="Arial"/>
          <w:bCs/>
          <w:sz w:val="20"/>
          <w:szCs w:val="20"/>
        </w:rPr>
        <w:t>60</w:t>
      </w:r>
      <w:r w:rsidR="009501B2">
        <w:rPr>
          <w:rFonts w:ascii="Verdana" w:hAnsi="Verdana" w:cs="Arial"/>
          <w:bCs/>
          <w:sz w:val="20"/>
          <w:szCs w:val="20"/>
        </w:rPr>
        <w:t>.</w:t>
      </w:r>
    </w:p>
    <w:p w14:paraId="3A548613" w14:textId="4E77DEF1" w:rsidR="00CF1B34" w:rsidRPr="00897CE6" w:rsidRDefault="00CF1B34" w:rsidP="00FB321D">
      <w:pPr>
        <w:tabs>
          <w:tab w:val="left" w:pos="540"/>
        </w:tabs>
        <w:spacing w:after="0" w:line="240" w:lineRule="auto"/>
        <w:jc w:val="both"/>
        <w:rPr>
          <w:rFonts w:ascii="Verdana" w:hAnsi="Verdana" w:cs="Arial"/>
          <w:bCs/>
          <w:sz w:val="20"/>
          <w:szCs w:val="20"/>
        </w:rPr>
      </w:pPr>
    </w:p>
    <w:p w14:paraId="7154ED8A" w14:textId="77777777" w:rsidR="00CF1B34" w:rsidRPr="00897CE6" w:rsidRDefault="00D32139" w:rsidP="2A78066E">
      <w:pPr>
        <w:ind w:left="567" w:hanging="567"/>
        <w:jc w:val="both"/>
        <w:rPr>
          <w:rFonts w:ascii="Verdana" w:hAnsi="Verdana" w:cs="Arial"/>
          <w:sz w:val="20"/>
          <w:szCs w:val="20"/>
        </w:rPr>
      </w:pPr>
      <m:oMath>
        <m:sSub>
          <m:sSubPr>
            <m:ctrlPr>
              <w:rPr>
                <w:rFonts w:ascii="Cambria Math" w:hAnsi="Cambria Math" w:cs="Arial"/>
                <w:bCs/>
                <w:i/>
                <w:sz w:val="20"/>
                <w:szCs w:val="20"/>
              </w:rPr>
            </m:ctrlPr>
          </m:sSubPr>
          <m:e>
            <m:r>
              <w:rPr>
                <w:rFonts w:ascii="Cambria Math" w:hAnsi="Cambria Math" w:cs="Arial"/>
                <w:sz w:val="20"/>
                <w:szCs w:val="20"/>
              </w:rPr>
              <m:t>F</m:t>
            </m:r>
          </m:e>
          <m:sub>
            <m:r>
              <w:rPr>
                <w:rFonts w:ascii="Cambria Math" w:hAnsi="Cambria Math" w:cs="Arial"/>
                <w:sz w:val="20"/>
                <w:szCs w:val="20"/>
              </w:rPr>
              <m:t>a</m:t>
            </m:r>
          </m:sub>
        </m:sSub>
      </m:oMath>
      <w:r w:rsidR="00CF1B34" w:rsidRPr="2A78066E">
        <w:rPr>
          <w:rFonts w:ascii="Verdana" w:hAnsi="Verdana" w:cs="Arial"/>
          <w:sz w:val="20"/>
          <w:szCs w:val="20"/>
        </w:rPr>
        <w:t>:</w:t>
      </w:r>
      <w:r w:rsidR="00CF1B34" w:rsidRPr="00897CE6">
        <w:rPr>
          <w:rFonts w:ascii="Verdana" w:hAnsi="Verdana" w:cs="Arial"/>
          <w:bCs/>
          <w:sz w:val="20"/>
          <w:szCs w:val="20"/>
        </w:rPr>
        <w:tab/>
      </w:r>
      <w:r w:rsidR="00CF1B34" w:rsidRPr="2A78066E">
        <w:rPr>
          <w:rFonts w:ascii="Verdana" w:hAnsi="Verdana" w:cs="Arial"/>
          <w:sz w:val="20"/>
          <w:szCs w:val="20"/>
        </w:rPr>
        <w:t xml:space="preserve">Es el factor de ajuste aplicable al </w:t>
      </w:r>
      <m:oMath>
        <m:r>
          <w:rPr>
            <w:rFonts w:ascii="Cambria Math" w:hAnsi="Cambria Math" w:cs="Arial"/>
            <w:sz w:val="20"/>
            <w:szCs w:val="20"/>
          </w:rPr>
          <m:t>VB</m:t>
        </m:r>
      </m:oMath>
      <w:r w:rsidR="00CF1B34" w:rsidRPr="2A78066E">
        <w:rPr>
          <w:rFonts w:ascii="Verdana" w:hAnsi="Verdana" w:cs="Arial"/>
          <w:sz w:val="20"/>
          <w:szCs w:val="20"/>
        </w:rPr>
        <w:t xml:space="preserve">. Este factor corresponde a 0% para exposiciones cuyos desembolsos, pagos y amortizaciones se realicen en efectivo. En el caso de operaciones del mercado monetario que impliquen la recepción de </w:t>
      </w:r>
      <w:r w:rsidR="00CF1B34" w:rsidRPr="2A78066E">
        <w:rPr>
          <w:rFonts w:ascii="Verdana" w:hAnsi="Verdana" w:cs="Arial"/>
          <w:sz w:val="20"/>
          <w:szCs w:val="20"/>
        </w:rPr>
        <w:lastRenderedPageBreak/>
        <w:t>valores como contraprestación, el factor de ajuste será el mismo factor de ajuste a la garantía (</w:t>
      </w:r>
      <w:r w:rsidR="00CF1B34" w:rsidRPr="2A78066E">
        <w:rPr>
          <w:rFonts w:ascii="Verdana" w:hAnsi="Verdana" w:cs="Arial"/>
          <w:i/>
          <w:iCs/>
          <w:sz w:val="20"/>
          <w:szCs w:val="20"/>
        </w:rPr>
        <w:t>F</w:t>
      </w:r>
      <w:r w:rsidR="00CF1B34" w:rsidRPr="2A78066E">
        <w:rPr>
          <w:rFonts w:ascii="Verdana" w:hAnsi="Verdana" w:cs="Arial"/>
          <w:i/>
          <w:iCs/>
          <w:sz w:val="20"/>
          <w:szCs w:val="20"/>
          <w:vertAlign w:val="subscript"/>
        </w:rPr>
        <w:t>g</w:t>
      </w:r>
      <w:r w:rsidR="00CF1B34" w:rsidRPr="2A78066E">
        <w:rPr>
          <w:rFonts w:ascii="Verdana" w:hAnsi="Verdana" w:cs="Arial"/>
          <w:sz w:val="20"/>
          <w:szCs w:val="20"/>
        </w:rPr>
        <w:t xml:space="preserve">) aplicable a los respectivos títulos o valores. </w:t>
      </w:r>
    </w:p>
    <w:p w14:paraId="7416AAEC" w14:textId="27B84D99" w:rsidR="00CF1B34" w:rsidRPr="00897CE6" w:rsidRDefault="00D32139" w:rsidP="00CF1B34">
      <w:pPr>
        <w:ind w:left="567" w:hanging="567"/>
        <w:jc w:val="both"/>
        <w:rPr>
          <w:rFonts w:ascii="Verdana" w:hAnsi="Verdana" w:cs="Arial"/>
          <w:bCs/>
          <w:sz w:val="20"/>
          <w:szCs w:val="20"/>
        </w:rPr>
      </w:pPr>
      <m:oMath>
        <m:sSub>
          <m:sSubPr>
            <m:ctrlPr>
              <w:rPr>
                <w:rFonts w:ascii="Cambria Math" w:hAnsi="Cambria Math" w:cs="Arial"/>
                <w:bCs/>
                <w:i/>
                <w:sz w:val="20"/>
                <w:szCs w:val="20"/>
              </w:rPr>
            </m:ctrlPr>
          </m:sSubPr>
          <m:e>
            <m:r>
              <w:rPr>
                <w:rFonts w:ascii="Cambria Math" w:hAnsi="Cambria Math" w:cs="Arial"/>
                <w:sz w:val="20"/>
                <w:szCs w:val="20"/>
              </w:rPr>
              <m:t>F</m:t>
            </m:r>
          </m:e>
          <m:sub>
            <m:r>
              <w:rPr>
                <w:rFonts w:ascii="Cambria Math" w:hAnsi="Cambria Math" w:cs="Arial"/>
                <w:sz w:val="20"/>
                <w:szCs w:val="20"/>
              </w:rPr>
              <m:t>g</m:t>
            </m:r>
          </m:sub>
        </m:sSub>
      </m:oMath>
      <w:r w:rsidR="00CF1B34" w:rsidRPr="00897CE6">
        <w:rPr>
          <w:rFonts w:ascii="Verdana" w:hAnsi="Verdana" w:cs="Arial"/>
          <w:bCs/>
          <w:sz w:val="20"/>
          <w:szCs w:val="20"/>
        </w:rPr>
        <w:t>:</w:t>
      </w:r>
      <w:r w:rsidR="00CF1B34" w:rsidRPr="00897CE6">
        <w:rPr>
          <w:rFonts w:ascii="Verdana" w:hAnsi="Verdana" w:cs="Arial"/>
          <w:bCs/>
          <w:sz w:val="20"/>
          <w:szCs w:val="20"/>
        </w:rPr>
        <w:tab/>
      </w:r>
      <w:r w:rsidR="00CF1B34" w:rsidRPr="009265C4">
        <w:rPr>
          <w:rFonts w:ascii="Verdana" w:hAnsi="Verdana" w:cs="Arial"/>
          <w:bCs/>
          <w:sz w:val="20"/>
          <w:szCs w:val="20"/>
        </w:rPr>
        <w:t xml:space="preserve">Es el factor de ajuste de riesgo aplicable a la garantía </w:t>
      </w:r>
      <w:r w:rsidR="00CF1B34" w:rsidRPr="009265C4">
        <w:rPr>
          <w:rFonts w:ascii="Verdana" w:hAnsi="Verdana" w:cs="Arial"/>
          <w:bCs/>
          <w:i/>
          <w:iCs/>
          <w:sz w:val="20"/>
          <w:szCs w:val="20"/>
        </w:rPr>
        <w:t>G</w:t>
      </w:r>
      <w:r w:rsidR="00CF1B34" w:rsidRPr="009265C4">
        <w:rPr>
          <w:rFonts w:ascii="Verdana" w:hAnsi="Verdana" w:cs="Arial"/>
          <w:bCs/>
          <w:sz w:val="20"/>
          <w:szCs w:val="20"/>
        </w:rPr>
        <w:t xml:space="preserve">, de acuerdo con lo previsto en el </w:t>
      </w:r>
      <w:r w:rsidR="00314092">
        <w:rPr>
          <w:rFonts w:ascii="Verdana" w:hAnsi="Verdana" w:cs="Arial"/>
          <w:bCs/>
          <w:sz w:val="20"/>
          <w:szCs w:val="20"/>
        </w:rPr>
        <w:t>párrafo 2.10.2.</w:t>
      </w:r>
      <w:r w:rsidR="009265C4">
        <w:rPr>
          <w:rFonts w:ascii="Verdana" w:hAnsi="Verdana" w:cs="Arial"/>
          <w:bCs/>
          <w:sz w:val="20"/>
          <w:szCs w:val="20"/>
        </w:rPr>
        <w:t>5</w:t>
      </w:r>
      <w:r w:rsidR="002D5B57">
        <w:rPr>
          <w:rFonts w:ascii="Verdana" w:hAnsi="Verdana" w:cs="Arial"/>
          <w:bCs/>
          <w:sz w:val="20"/>
          <w:szCs w:val="20"/>
        </w:rPr>
        <w:t>5</w:t>
      </w:r>
      <w:r w:rsidR="009265C4">
        <w:rPr>
          <w:rFonts w:ascii="Verdana" w:hAnsi="Verdana" w:cs="Arial"/>
          <w:bCs/>
          <w:sz w:val="20"/>
          <w:szCs w:val="20"/>
        </w:rPr>
        <w:t>.</w:t>
      </w:r>
    </w:p>
    <w:p w14:paraId="3D8A615D" w14:textId="79111F87" w:rsidR="003C6B51" w:rsidRDefault="00D32139" w:rsidP="003C6B51">
      <w:pPr>
        <w:ind w:left="567" w:hanging="567"/>
        <w:jc w:val="both"/>
        <w:rPr>
          <w:rFonts w:ascii="Verdana" w:hAnsi="Verdana" w:cs="Arial"/>
          <w:bCs/>
          <w:sz w:val="20"/>
          <w:szCs w:val="20"/>
        </w:rPr>
      </w:pPr>
      <m:oMath>
        <m:sSub>
          <m:sSubPr>
            <m:ctrlPr>
              <w:rPr>
                <w:rFonts w:ascii="Cambria Math" w:hAnsi="Cambria Math" w:cs="Arial"/>
                <w:bCs/>
                <w:i/>
                <w:sz w:val="20"/>
                <w:szCs w:val="20"/>
              </w:rPr>
            </m:ctrlPr>
          </m:sSubPr>
          <m:e>
            <m:r>
              <w:rPr>
                <w:rFonts w:ascii="Cambria Math" w:hAnsi="Cambria Math" w:cs="Arial"/>
                <w:sz w:val="20"/>
                <w:szCs w:val="20"/>
              </w:rPr>
              <m:t>F</m:t>
            </m:r>
          </m:e>
          <m:sub>
            <m:r>
              <w:rPr>
                <w:rFonts w:ascii="Cambria Math" w:hAnsi="Cambria Math" w:cs="Arial"/>
                <w:sz w:val="20"/>
                <w:szCs w:val="20"/>
              </w:rPr>
              <m:t>c</m:t>
            </m:r>
          </m:sub>
        </m:sSub>
      </m:oMath>
      <w:r w:rsidR="00CF1B34" w:rsidRPr="00897CE6">
        <w:rPr>
          <w:rFonts w:ascii="Verdana" w:hAnsi="Verdana" w:cs="Arial"/>
          <w:bCs/>
          <w:sz w:val="20"/>
          <w:szCs w:val="20"/>
        </w:rPr>
        <w:t>:</w:t>
      </w:r>
      <w:r w:rsidR="00CF1B34" w:rsidRPr="00897CE6">
        <w:rPr>
          <w:rFonts w:ascii="Verdana" w:hAnsi="Verdana" w:cs="Arial"/>
          <w:bCs/>
          <w:sz w:val="20"/>
          <w:szCs w:val="20"/>
        </w:rPr>
        <w:tab/>
        <w:t>Es el factor de ajuste cambiario aplicable a la garantía</w:t>
      </w:r>
      <w:r w:rsidR="00CF1B34" w:rsidRPr="00897CE6">
        <w:rPr>
          <w:rFonts w:ascii="Verdana" w:hAnsi="Verdana" w:cs="Arial"/>
          <w:bCs/>
          <w:i/>
          <w:iCs/>
          <w:sz w:val="20"/>
          <w:szCs w:val="20"/>
        </w:rPr>
        <w:t xml:space="preserve"> G</w:t>
      </w:r>
      <w:r w:rsidR="00CF1B34" w:rsidRPr="00897CE6">
        <w:rPr>
          <w:rFonts w:ascii="Verdana" w:hAnsi="Verdana" w:cs="Arial"/>
          <w:bCs/>
          <w:sz w:val="20"/>
          <w:szCs w:val="20"/>
        </w:rPr>
        <w:t xml:space="preserve">, de acuerdo con lo previsto en el </w:t>
      </w:r>
      <w:r w:rsidR="009265C4">
        <w:rPr>
          <w:rFonts w:ascii="Verdana" w:hAnsi="Verdana" w:cs="Arial"/>
          <w:bCs/>
          <w:sz w:val="20"/>
          <w:szCs w:val="20"/>
        </w:rPr>
        <w:t>párrafo 2.10.2.5</w:t>
      </w:r>
      <w:r w:rsidR="002D5B57">
        <w:rPr>
          <w:rFonts w:ascii="Verdana" w:hAnsi="Verdana" w:cs="Arial"/>
          <w:bCs/>
          <w:sz w:val="20"/>
          <w:szCs w:val="20"/>
        </w:rPr>
        <w:t>7</w:t>
      </w:r>
      <w:r w:rsidR="009265C4">
        <w:rPr>
          <w:rFonts w:ascii="Verdana" w:hAnsi="Verdana" w:cs="Arial"/>
          <w:bCs/>
          <w:sz w:val="20"/>
          <w:szCs w:val="20"/>
        </w:rPr>
        <w:t>.</w:t>
      </w:r>
    </w:p>
    <w:p w14:paraId="3D6F8DD6" w14:textId="2C64719F" w:rsidR="00CF1B34" w:rsidRPr="003C6B51" w:rsidRDefault="00CF1B34" w:rsidP="003C6B51">
      <w:pPr>
        <w:ind w:left="567" w:hanging="567"/>
        <w:jc w:val="both"/>
        <w:rPr>
          <w:rFonts w:ascii="Verdana" w:hAnsi="Verdana" w:cs="Arial"/>
          <w:b/>
          <w:sz w:val="20"/>
          <w:szCs w:val="20"/>
        </w:rPr>
      </w:pPr>
      <w:r w:rsidRPr="003C6B51">
        <w:rPr>
          <w:rFonts w:ascii="Verdana" w:hAnsi="Verdana" w:cs="Arial"/>
          <w:b/>
          <w:sz w:val="20"/>
          <w:szCs w:val="20"/>
        </w:rPr>
        <w:t>Contingencias o exposiciones fuera de balance</w:t>
      </w:r>
    </w:p>
    <w:p w14:paraId="7812D25E" w14:textId="35E92389" w:rsidR="000C2766" w:rsidRPr="001B7405" w:rsidRDefault="000C2766" w:rsidP="000C2766">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2.10.2.</w:t>
      </w:r>
      <w:r w:rsidR="00CE4808">
        <w:rPr>
          <w:rFonts w:ascii="Verdana" w:hAnsi="Verdana" w:cs="Arial"/>
          <w:bCs/>
          <w:sz w:val="20"/>
          <w:szCs w:val="20"/>
        </w:rPr>
        <w:t>51</w:t>
      </w:r>
      <w:r w:rsidRPr="001B7405">
        <w:rPr>
          <w:rFonts w:ascii="Verdana" w:hAnsi="Verdana" w:cs="Arial"/>
          <w:bCs/>
          <w:sz w:val="20"/>
          <w:szCs w:val="20"/>
        </w:rPr>
        <w:t>.</w:t>
      </w:r>
    </w:p>
    <w:p w14:paraId="6CE33DE1" w14:textId="5D9548B5" w:rsidR="00CF1B34" w:rsidRPr="00897CE6" w:rsidRDefault="00CF1B34" w:rsidP="00CF1B34">
      <w:pPr>
        <w:jc w:val="both"/>
        <w:rPr>
          <w:rFonts w:ascii="Verdana" w:hAnsi="Verdana" w:cs="Arial"/>
          <w:bCs/>
          <w:sz w:val="20"/>
          <w:szCs w:val="20"/>
        </w:rPr>
      </w:pPr>
      <w:r w:rsidRPr="00897CE6">
        <w:rPr>
          <w:rFonts w:ascii="Verdana" w:hAnsi="Verdana" w:cs="Arial"/>
          <w:bCs/>
          <w:sz w:val="20"/>
          <w:szCs w:val="20"/>
        </w:rPr>
        <w:t xml:space="preserve">De acuerdo con lo previsto en el artículo 2.1.1.3.5 del Decreto 2555 de 2010, el valor de exposición de las contingencias se calcula de acuerdo con la siguiente expresión: </w:t>
      </w:r>
    </w:p>
    <w:p w14:paraId="6EB9B127" w14:textId="77777777" w:rsidR="00CF1B34" w:rsidRPr="00897CE6" w:rsidRDefault="00CF1B34" w:rsidP="00CF1B34">
      <w:pPr>
        <w:jc w:val="both"/>
        <w:rPr>
          <w:rFonts w:ascii="Verdana" w:hAnsi="Verdana" w:cs="Arial"/>
          <w:bCs/>
          <w:sz w:val="20"/>
          <w:szCs w:val="20"/>
        </w:rPr>
      </w:pPr>
      <m:oMathPara>
        <m:oMath>
          <m:r>
            <w:rPr>
              <w:rFonts w:ascii="Cambria Math" w:hAnsi="Cambria Math" w:cs="Arial"/>
              <w:sz w:val="20"/>
              <w:szCs w:val="20"/>
            </w:rPr>
            <m:t>VEC=MN*FC</m:t>
          </m:r>
        </m:oMath>
      </m:oMathPara>
    </w:p>
    <w:p w14:paraId="50016759" w14:textId="77777777" w:rsidR="00CF1B34" w:rsidRPr="00897CE6" w:rsidRDefault="00CF1B34" w:rsidP="00CF1B34">
      <w:pPr>
        <w:jc w:val="both"/>
        <w:rPr>
          <w:rFonts w:ascii="Verdana" w:hAnsi="Verdana" w:cs="Arial"/>
          <w:bCs/>
          <w:sz w:val="20"/>
          <w:szCs w:val="20"/>
        </w:rPr>
      </w:pPr>
      <w:r w:rsidRPr="00897CE6">
        <w:rPr>
          <w:rFonts w:ascii="Verdana" w:hAnsi="Verdana" w:cs="Arial"/>
          <w:bCs/>
          <w:sz w:val="20"/>
          <w:szCs w:val="20"/>
        </w:rPr>
        <w:t>Donde:</w:t>
      </w:r>
    </w:p>
    <w:p w14:paraId="0C90797E" w14:textId="77777777" w:rsidR="00CF1B34" w:rsidRPr="00897CE6" w:rsidRDefault="00CF1B34" w:rsidP="00CF1B34">
      <w:pPr>
        <w:ind w:left="567" w:hanging="567"/>
        <w:jc w:val="both"/>
        <w:rPr>
          <w:rFonts w:ascii="Verdana" w:hAnsi="Verdana" w:cs="Arial"/>
          <w:bCs/>
          <w:sz w:val="20"/>
          <w:szCs w:val="20"/>
        </w:rPr>
      </w:pPr>
      <w:r w:rsidRPr="00897CE6">
        <w:rPr>
          <w:rFonts w:ascii="Verdana" w:hAnsi="Verdana" w:cs="Arial"/>
          <w:bCs/>
          <w:i/>
          <w:iCs/>
          <w:sz w:val="20"/>
          <w:szCs w:val="20"/>
        </w:rPr>
        <w:t xml:space="preserve">VEC: </w:t>
      </w:r>
      <w:r w:rsidRPr="00897CE6">
        <w:rPr>
          <w:rFonts w:ascii="Verdana" w:hAnsi="Verdana" w:cs="Arial"/>
          <w:bCs/>
          <w:sz w:val="20"/>
          <w:szCs w:val="20"/>
        </w:rPr>
        <w:t xml:space="preserve"> Es el valor de exposición de las contingencias que debe utilizarse para efectos del control a las grandes exposiciones.</w:t>
      </w:r>
    </w:p>
    <w:p w14:paraId="74042453" w14:textId="77777777" w:rsidR="00CF1B34" w:rsidRPr="00897CE6" w:rsidRDefault="00CF1B34" w:rsidP="00CF1B34">
      <w:pPr>
        <w:ind w:left="567" w:hanging="567"/>
        <w:jc w:val="both"/>
        <w:rPr>
          <w:rFonts w:ascii="Verdana" w:hAnsi="Verdana" w:cs="Arial"/>
          <w:bCs/>
          <w:sz w:val="20"/>
          <w:szCs w:val="20"/>
        </w:rPr>
      </w:pPr>
      <w:r w:rsidRPr="00897CE6">
        <w:rPr>
          <w:rFonts w:ascii="Verdana" w:hAnsi="Verdana" w:cs="Arial"/>
          <w:i/>
          <w:iCs/>
          <w:sz w:val="20"/>
          <w:szCs w:val="20"/>
        </w:rPr>
        <w:t>MN</w:t>
      </w:r>
      <w:r w:rsidRPr="00897CE6">
        <w:rPr>
          <w:rFonts w:ascii="Verdana" w:hAnsi="Verdana" w:cs="Arial"/>
          <w:bCs/>
          <w:sz w:val="20"/>
          <w:szCs w:val="20"/>
        </w:rPr>
        <w:t xml:space="preserve">: </w:t>
      </w:r>
      <w:r w:rsidRPr="00897CE6">
        <w:rPr>
          <w:rFonts w:ascii="Verdana" w:hAnsi="Verdana" w:cs="Arial"/>
          <w:bCs/>
          <w:sz w:val="20"/>
          <w:szCs w:val="20"/>
        </w:rPr>
        <w:tab/>
        <w:t>Es el monto nominal de las contingencias neto de provisiones individuales.</w:t>
      </w:r>
    </w:p>
    <w:p w14:paraId="38FAE931" w14:textId="0B25A347" w:rsidR="00CF1B34" w:rsidRPr="00897CE6" w:rsidRDefault="00CF1B34" w:rsidP="00CF1B34">
      <w:pPr>
        <w:ind w:left="567" w:hanging="567"/>
        <w:jc w:val="both"/>
        <w:rPr>
          <w:rFonts w:ascii="Verdana" w:hAnsi="Verdana" w:cs="Arial"/>
          <w:b/>
          <w:sz w:val="20"/>
          <w:szCs w:val="20"/>
        </w:rPr>
      </w:pPr>
      <w:r w:rsidRPr="00897CE6">
        <w:rPr>
          <w:rFonts w:ascii="Verdana" w:hAnsi="Verdana" w:cs="Arial"/>
          <w:bCs/>
          <w:i/>
          <w:iCs/>
          <w:sz w:val="20"/>
          <w:szCs w:val="20"/>
        </w:rPr>
        <w:t>FC</w:t>
      </w:r>
      <w:r w:rsidRPr="00897CE6">
        <w:rPr>
          <w:rFonts w:ascii="Verdana" w:hAnsi="Verdana" w:cs="Arial"/>
          <w:bCs/>
          <w:sz w:val="20"/>
          <w:szCs w:val="20"/>
        </w:rPr>
        <w:t xml:space="preserve">: </w:t>
      </w:r>
      <w:r w:rsidRPr="00897CE6">
        <w:rPr>
          <w:rFonts w:ascii="Verdana" w:hAnsi="Verdana" w:cs="Arial"/>
          <w:bCs/>
          <w:sz w:val="20"/>
          <w:szCs w:val="20"/>
        </w:rPr>
        <w:tab/>
        <w:t>Es el factor de conversión crediticio aplicable a la respectiva exposición, según lo previsto en los literales a, b y c del artículo 2.1.1.3.5 del Decreto 2555 de 2010.</w:t>
      </w:r>
    </w:p>
    <w:p w14:paraId="427F467C" w14:textId="2B12C0BB" w:rsidR="00CF1B34" w:rsidRPr="003C6B51" w:rsidRDefault="00CF1B34" w:rsidP="003C6B51">
      <w:pPr>
        <w:spacing w:after="0" w:line="240" w:lineRule="auto"/>
        <w:jc w:val="both"/>
        <w:rPr>
          <w:rFonts w:ascii="Verdana" w:hAnsi="Verdana" w:cs="Arial"/>
          <w:b/>
          <w:sz w:val="20"/>
          <w:szCs w:val="20"/>
        </w:rPr>
      </w:pPr>
      <w:r w:rsidRPr="003C6B51">
        <w:rPr>
          <w:rFonts w:ascii="Verdana" w:hAnsi="Verdana" w:cs="Arial"/>
          <w:b/>
          <w:sz w:val="20"/>
          <w:szCs w:val="20"/>
        </w:rPr>
        <w:t>Activos sujetos a riesgo de contraparte</w:t>
      </w:r>
    </w:p>
    <w:p w14:paraId="59ABA3B9" w14:textId="77777777" w:rsidR="000C2766" w:rsidRDefault="000C2766" w:rsidP="000C2766">
      <w:pPr>
        <w:tabs>
          <w:tab w:val="left" w:pos="540"/>
        </w:tabs>
        <w:spacing w:after="0" w:line="240" w:lineRule="auto"/>
        <w:jc w:val="both"/>
        <w:rPr>
          <w:rFonts w:ascii="Verdana" w:hAnsi="Verdana" w:cs="Arial"/>
          <w:bCs/>
          <w:sz w:val="20"/>
          <w:szCs w:val="20"/>
        </w:rPr>
      </w:pPr>
    </w:p>
    <w:p w14:paraId="074FD846" w14:textId="7400748D" w:rsidR="000C2766" w:rsidRPr="001B7405" w:rsidRDefault="000C2766" w:rsidP="000C2766">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2.10.2.</w:t>
      </w:r>
      <w:r w:rsidR="00CE4808">
        <w:rPr>
          <w:rFonts w:ascii="Verdana" w:hAnsi="Verdana" w:cs="Arial"/>
          <w:bCs/>
          <w:sz w:val="20"/>
          <w:szCs w:val="20"/>
        </w:rPr>
        <w:t>52</w:t>
      </w:r>
      <w:r w:rsidRPr="001B7405">
        <w:rPr>
          <w:rFonts w:ascii="Verdana" w:hAnsi="Verdana" w:cs="Arial"/>
          <w:bCs/>
          <w:sz w:val="20"/>
          <w:szCs w:val="20"/>
        </w:rPr>
        <w:t>.</w:t>
      </w:r>
    </w:p>
    <w:p w14:paraId="04A9B7BD" w14:textId="6E51A2F3" w:rsidR="00CF1B34" w:rsidRPr="00897CE6" w:rsidRDefault="00CF1B34" w:rsidP="00CF1B34">
      <w:pPr>
        <w:jc w:val="both"/>
        <w:rPr>
          <w:rFonts w:ascii="Verdana" w:hAnsi="Verdana" w:cs="Arial"/>
          <w:bCs/>
          <w:sz w:val="20"/>
          <w:szCs w:val="20"/>
        </w:rPr>
      </w:pPr>
      <w:r w:rsidRPr="00897CE6">
        <w:rPr>
          <w:rFonts w:ascii="Verdana" w:hAnsi="Verdana" w:cs="Arial"/>
          <w:bCs/>
          <w:sz w:val="20"/>
          <w:szCs w:val="20"/>
        </w:rPr>
        <w:t xml:space="preserve">De conformidad con el parágrafo 7 del artículo 2.1.1.3.4 del Decreto 2555 de 2010, el valor de exposición de los instrumentos financieros derivados y de los productos estructurados </w:t>
      </w:r>
      <w:r w:rsidRPr="0068442C">
        <w:rPr>
          <w:rFonts w:ascii="Verdana" w:hAnsi="Verdana" w:cs="Arial"/>
          <w:bCs/>
          <w:sz w:val="20"/>
          <w:szCs w:val="20"/>
        </w:rPr>
        <w:t xml:space="preserve">corresponde al valor de la exposición crediticia calculado de acuerdo con el </w:t>
      </w:r>
      <w:r w:rsidR="0068442C" w:rsidRPr="0068442C">
        <w:rPr>
          <w:rFonts w:ascii="Verdana" w:hAnsi="Verdana" w:cs="Arial"/>
          <w:bCs/>
          <w:sz w:val="20"/>
          <w:szCs w:val="20"/>
        </w:rPr>
        <w:t>a</w:t>
      </w:r>
      <w:r w:rsidRPr="0068442C">
        <w:rPr>
          <w:rFonts w:ascii="Verdana" w:hAnsi="Verdana" w:cs="Arial"/>
          <w:bCs/>
          <w:sz w:val="20"/>
          <w:szCs w:val="20"/>
        </w:rPr>
        <w:t xml:space="preserve">nexo 3 del </w:t>
      </w:r>
      <w:r w:rsidR="0068442C" w:rsidRPr="0068442C">
        <w:rPr>
          <w:rFonts w:ascii="Verdana" w:hAnsi="Verdana" w:cs="Arial"/>
          <w:bCs/>
          <w:sz w:val="20"/>
          <w:szCs w:val="20"/>
        </w:rPr>
        <w:t xml:space="preserve">capítulo 5 de la parte 3 de la </w:t>
      </w:r>
      <w:r w:rsidR="00F32ACD">
        <w:rPr>
          <w:rFonts w:ascii="Verdana" w:hAnsi="Verdana" w:cs="Arial"/>
          <w:bCs/>
          <w:sz w:val="20"/>
          <w:szCs w:val="20"/>
        </w:rPr>
        <w:t>CBF</w:t>
      </w:r>
      <w:r w:rsidRPr="0068442C">
        <w:rPr>
          <w:rFonts w:ascii="Verdana" w:hAnsi="Verdana" w:cs="Arial"/>
          <w:bCs/>
          <w:sz w:val="20"/>
          <w:szCs w:val="20"/>
        </w:rPr>
        <w:t>.</w:t>
      </w:r>
    </w:p>
    <w:p w14:paraId="0567E062" w14:textId="6A6004EC" w:rsidR="000C2766" w:rsidRPr="001B7405" w:rsidRDefault="000C2766" w:rsidP="000C2766">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2.10.2.</w:t>
      </w:r>
      <w:r w:rsidR="00CE4808">
        <w:rPr>
          <w:rFonts w:ascii="Verdana" w:hAnsi="Verdana" w:cs="Arial"/>
          <w:bCs/>
          <w:sz w:val="20"/>
          <w:szCs w:val="20"/>
        </w:rPr>
        <w:t>53</w:t>
      </w:r>
      <w:r w:rsidRPr="001B7405">
        <w:rPr>
          <w:rFonts w:ascii="Verdana" w:hAnsi="Verdana" w:cs="Arial"/>
          <w:bCs/>
          <w:sz w:val="20"/>
          <w:szCs w:val="20"/>
        </w:rPr>
        <w:t>.</w:t>
      </w:r>
    </w:p>
    <w:p w14:paraId="0DCE922D" w14:textId="12D2628C" w:rsidR="00CF1B34" w:rsidRPr="00897CE6" w:rsidRDefault="00CF1B34" w:rsidP="2A78066E">
      <w:pPr>
        <w:jc w:val="both"/>
        <w:rPr>
          <w:rFonts w:ascii="Verdana" w:hAnsi="Verdana" w:cs="Arial"/>
          <w:sz w:val="20"/>
          <w:szCs w:val="20"/>
        </w:rPr>
      </w:pPr>
      <w:r w:rsidRPr="2A78066E">
        <w:rPr>
          <w:rFonts w:ascii="Verdana" w:hAnsi="Verdana" w:cs="Arial"/>
          <w:sz w:val="20"/>
          <w:szCs w:val="20"/>
        </w:rPr>
        <w:t>Por su parte, de acuerdo con lo señalado en el parágrafo 5 del artículo 2.1.1.3.4 del Decreto 2555 de 2010, para el caso de las operaciones repo, simultaneas y de transferencia temporal de valores, el valor de exposición será el monto que resulte de restar la posición deudora de la posición acreedora que ostenta la entidad en cada operación realizada, siempre que dicho monto sea positivo. El cálculo de las posiciones deberá tener en cuenta tanto el precio justo de intercambio de los valores cuya propiedad se transfiera en desarrollo de la operación, la suma de dinero entregada en la misma, así como los intereses o rendimientos causados asociados a la operación.</w:t>
      </w:r>
    </w:p>
    <w:p w14:paraId="1AC961A8" w14:textId="236D925D" w:rsidR="00CF1B34" w:rsidRPr="00150681" w:rsidRDefault="003C6B51" w:rsidP="00B52BC5">
      <w:pPr>
        <w:spacing w:after="0" w:line="240" w:lineRule="auto"/>
        <w:jc w:val="both"/>
        <w:rPr>
          <w:rFonts w:ascii="Verdana" w:hAnsi="Verdana" w:cs="Arial"/>
          <w:b/>
          <w:sz w:val="20"/>
          <w:szCs w:val="20"/>
        </w:rPr>
      </w:pPr>
      <w:bookmarkStart w:id="2" w:name="_Hlk146123547"/>
      <w:r w:rsidRPr="00150681">
        <w:rPr>
          <w:rFonts w:ascii="Verdana" w:hAnsi="Verdana" w:cs="Arial"/>
          <w:b/>
          <w:sz w:val="20"/>
          <w:szCs w:val="20"/>
        </w:rPr>
        <w:t>GARANTÍAS IDÓNEAS PARA EFECTOS DE LAS GRANDES EXPOSICIONES Y LA CONCENTRACIÓN DE RIESGOS</w:t>
      </w:r>
    </w:p>
    <w:bookmarkEnd w:id="2"/>
    <w:p w14:paraId="4BA48565" w14:textId="77777777" w:rsidR="003C6B51" w:rsidRDefault="003C6B51" w:rsidP="00150681">
      <w:pPr>
        <w:tabs>
          <w:tab w:val="left" w:pos="540"/>
        </w:tabs>
        <w:spacing w:after="0" w:line="240" w:lineRule="auto"/>
        <w:jc w:val="both"/>
        <w:rPr>
          <w:rFonts w:ascii="Verdana" w:hAnsi="Verdana" w:cs="Arial"/>
          <w:b/>
          <w:sz w:val="20"/>
          <w:szCs w:val="20"/>
        </w:rPr>
      </w:pPr>
    </w:p>
    <w:p w14:paraId="1FFF3CE1" w14:textId="127D14E8" w:rsidR="00150681" w:rsidRPr="001B7405" w:rsidRDefault="00150681" w:rsidP="00150681">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2.10.2.</w:t>
      </w:r>
      <w:r w:rsidR="00CE4808">
        <w:rPr>
          <w:rFonts w:ascii="Verdana" w:hAnsi="Verdana" w:cs="Arial"/>
          <w:bCs/>
          <w:sz w:val="20"/>
          <w:szCs w:val="20"/>
        </w:rPr>
        <w:t>54</w:t>
      </w:r>
      <w:r w:rsidRPr="001B7405">
        <w:rPr>
          <w:rFonts w:ascii="Verdana" w:hAnsi="Verdana" w:cs="Arial"/>
          <w:bCs/>
          <w:sz w:val="20"/>
          <w:szCs w:val="20"/>
        </w:rPr>
        <w:t>.</w:t>
      </w:r>
    </w:p>
    <w:p w14:paraId="3A062651" w14:textId="293D1A52" w:rsidR="00CF1B34" w:rsidRPr="003C6B51" w:rsidRDefault="00CF1B34" w:rsidP="00CF1B34">
      <w:pPr>
        <w:jc w:val="both"/>
        <w:rPr>
          <w:rFonts w:ascii="Verdana" w:hAnsi="Verdana" w:cs="Arial"/>
          <w:sz w:val="20"/>
          <w:szCs w:val="20"/>
        </w:rPr>
      </w:pPr>
      <w:r w:rsidRPr="2A78066E">
        <w:rPr>
          <w:rFonts w:ascii="Verdana" w:hAnsi="Verdana" w:cs="Arial"/>
          <w:sz w:val="20"/>
          <w:szCs w:val="20"/>
        </w:rPr>
        <w:t xml:space="preserve">En desarrollo del artículo 2.1.1.3.4 del Decreto 2555 de 2010, el cual faculta a la </w:t>
      </w:r>
      <w:r w:rsidR="000726CB">
        <w:rPr>
          <w:rFonts w:ascii="Verdana" w:hAnsi="Verdana" w:cs="Arial"/>
          <w:sz w:val="20"/>
          <w:szCs w:val="20"/>
        </w:rPr>
        <w:t>SFC</w:t>
      </w:r>
      <w:r w:rsidRPr="2A78066E">
        <w:rPr>
          <w:rFonts w:ascii="Verdana" w:hAnsi="Verdana" w:cs="Arial"/>
          <w:sz w:val="20"/>
          <w:szCs w:val="20"/>
        </w:rPr>
        <w:t xml:space="preserve"> para impartir instrucciones sobre </w:t>
      </w:r>
      <w:r w:rsidR="00A30D71">
        <w:rPr>
          <w:rFonts w:ascii="Verdana" w:hAnsi="Verdana" w:cs="Arial"/>
          <w:sz w:val="20"/>
          <w:szCs w:val="20"/>
        </w:rPr>
        <w:t xml:space="preserve">la </w:t>
      </w:r>
      <w:r w:rsidRPr="2A78066E">
        <w:rPr>
          <w:rFonts w:ascii="Verdana" w:hAnsi="Verdana" w:cs="Arial"/>
          <w:sz w:val="20"/>
          <w:szCs w:val="20"/>
        </w:rPr>
        <w:t xml:space="preserve">idoneidad y </w:t>
      </w:r>
      <w:r w:rsidR="00A30D71">
        <w:rPr>
          <w:rFonts w:ascii="Verdana" w:hAnsi="Verdana" w:cs="Arial"/>
          <w:sz w:val="20"/>
          <w:szCs w:val="20"/>
        </w:rPr>
        <w:t xml:space="preserve">los </w:t>
      </w:r>
      <w:r w:rsidRPr="2A78066E">
        <w:rPr>
          <w:rFonts w:ascii="Verdana" w:hAnsi="Verdana" w:cs="Arial"/>
          <w:sz w:val="20"/>
          <w:szCs w:val="20"/>
        </w:rPr>
        <w:t xml:space="preserve">factores de ajuste, y sin perjuicio del concepto de garantía idónea previsto en </w:t>
      </w:r>
      <w:r w:rsidR="00372F9A">
        <w:rPr>
          <w:rFonts w:ascii="Verdana" w:hAnsi="Verdana" w:cs="Arial"/>
          <w:sz w:val="20"/>
          <w:szCs w:val="20"/>
        </w:rPr>
        <w:t xml:space="preserve">la sección 1 del capítulo 1 de la parte 1 de la </w:t>
      </w:r>
      <w:r w:rsidR="00F32ACD">
        <w:rPr>
          <w:rFonts w:ascii="Verdana" w:hAnsi="Verdana" w:cs="Arial"/>
          <w:bCs/>
          <w:sz w:val="20"/>
          <w:szCs w:val="20"/>
        </w:rPr>
        <w:t>CBF</w:t>
      </w:r>
      <w:r w:rsidRPr="2A78066E">
        <w:rPr>
          <w:rFonts w:ascii="Verdana" w:hAnsi="Verdana" w:cs="Arial"/>
          <w:sz w:val="20"/>
          <w:szCs w:val="20"/>
        </w:rPr>
        <w:t xml:space="preserve">, el cual es aplicable únicamente en lo relacionado con la gestión del riesgo de crédito y la determinación de las provisiones de la cartera de crédito, para efectos del cumplimiento de los límites a las grandes exposiciones y concentración de riesgos sólo se </w:t>
      </w:r>
      <w:r w:rsidR="00AB0072">
        <w:rPr>
          <w:rFonts w:ascii="Verdana" w:hAnsi="Verdana" w:cs="Arial"/>
          <w:sz w:val="20"/>
          <w:szCs w:val="20"/>
        </w:rPr>
        <w:t xml:space="preserve">podrán </w:t>
      </w:r>
      <w:r w:rsidRPr="2A78066E">
        <w:rPr>
          <w:rFonts w:ascii="Verdana" w:hAnsi="Verdana" w:cs="Arial"/>
          <w:sz w:val="20"/>
          <w:szCs w:val="20"/>
        </w:rPr>
        <w:t>considera</w:t>
      </w:r>
      <w:r w:rsidR="00AB0072">
        <w:rPr>
          <w:rFonts w:ascii="Verdana" w:hAnsi="Verdana" w:cs="Arial"/>
          <w:sz w:val="20"/>
          <w:szCs w:val="20"/>
        </w:rPr>
        <w:t>r como</w:t>
      </w:r>
      <w:r w:rsidR="00094F1D">
        <w:rPr>
          <w:rFonts w:ascii="Verdana" w:hAnsi="Verdana" w:cs="Arial"/>
          <w:sz w:val="20"/>
          <w:szCs w:val="20"/>
        </w:rPr>
        <w:t xml:space="preserve"> </w:t>
      </w:r>
      <w:r w:rsidRPr="2A78066E">
        <w:rPr>
          <w:rFonts w:ascii="Verdana" w:hAnsi="Verdana" w:cs="Arial"/>
          <w:sz w:val="20"/>
          <w:szCs w:val="20"/>
        </w:rPr>
        <w:t xml:space="preserve">garantías idóneas aquellas garantías que brindan un respaldo oportuno y adecuado para mitigar las posibles pérdidas ante el incumplimiento de una gran exposición, es decir, aquellas garantías de alta calidad y liquidez, y que estén valoradas y contabilizadas a valor razonable. </w:t>
      </w:r>
    </w:p>
    <w:p w14:paraId="3F46F417" w14:textId="7955FCF4" w:rsidR="00150681" w:rsidRPr="001B7405" w:rsidRDefault="00150681" w:rsidP="00150681">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2.10.2.</w:t>
      </w:r>
      <w:r w:rsidR="00CE4808">
        <w:rPr>
          <w:rFonts w:ascii="Verdana" w:hAnsi="Verdana" w:cs="Arial"/>
          <w:bCs/>
          <w:sz w:val="20"/>
          <w:szCs w:val="20"/>
        </w:rPr>
        <w:t>55</w:t>
      </w:r>
      <w:r w:rsidRPr="001B7405">
        <w:rPr>
          <w:rFonts w:ascii="Verdana" w:hAnsi="Verdana" w:cs="Arial"/>
          <w:bCs/>
          <w:sz w:val="20"/>
          <w:szCs w:val="20"/>
        </w:rPr>
        <w:t>.</w:t>
      </w:r>
    </w:p>
    <w:p w14:paraId="1D5E0D13" w14:textId="00929C99" w:rsidR="00CF1B34" w:rsidRDefault="00CF1B34" w:rsidP="00CF1B34">
      <w:pPr>
        <w:jc w:val="both"/>
        <w:rPr>
          <w:rFonts w:ascii="Verdana" w:hAnsi="Verdana" w:cs="Arial"/>
          <w:bCs/>
          <w:sz w:val="20"/>
          <w:szCs w:val="20"/>
        </w:rPr>
      </w:pPr>
      <w:r w:rsidRPr="00897CE6">
        <w:rPr>
          <w:rFonts w:ascii="Verdana" w:hAnsi="Verdana" w:cs="Arial"/>
          <w:bCs/>
          <w:sz w:val="20"/>
          <w:szCs w:val="20"/>
        </w:rPr>
        <w:t xml:space="preserve">En este contexto, a </w:t>
      </w:r>
      <w:r w:rsidR="00150681" w:rsidRPr="00897CE6">
        <w:rPr>
          <w:rFonts w:ascii="Verdana" w:hAnsi="Verdana" w:cs="Arial"/>
          <w:bCs/>
          <w:sz w:val="20"/>
          <w:szCs w:val="20"/>
        </w:rPr>
        <w:t>continuación,</w:t>
      </w:r>
      <w:r w:rsidRPr="00897CE6">
        <w:rPr>
          <w:rFonts w:ascii="Verdana" w:hAnsi="Verdana" w:cs="Arial"/>
          <w:bCs/>
          <w:sz w:val="20"/>
          <w:szCs w:val="20"/>
        </w:rPr>
        <w:t xml:space="preserve"> se establecen las garantías admisibles que pueden llegar a cumplir los requisitos de idoneidad previstos en el párrafo anterior para ser computables en el control de las grandes exposiciones y la concentración de riesgos, así como el factor de ajuste de riesgo aplicable a estas garantías para el cálculo del valor de exposición señalado </w:t>
      </w:r>
      <w:r w:rsidR="00A81596">
        <w:rPr>
          <w:rFonts w:ascii="Verdana" w:hAnsi="Verdana" w:cs="Arial"/>
          <w:bCs/>
          <w:sz w:val="20"/>
          <w:szCs w:val="20"/>
        </w:rPr>
        <w:t>en</w:t>
      </w:r>
      <w:r w:rsidR="007C738A">
        <w:rPr>
          <w:rFonts w:ascii="Verdana" w:hAnsi="Verdana" w:cs="Arial"/>
          <w:bCs/>
          <w:sz w:val="20"/>
          <w:szCs w:val="20"/>
        </w:rPr>
        <w:t>tre los párrafos 2.10.2.4</w:t>
      </w:r>
      <w:r w:rsidR="00CE4808">
        <w:rPr>
          <w:rFonts w:ascii="Verdana" w:hAnsi="Verdana" w:cs="Arial"/>
          <w:bCs/>
          <w:sz w:val="20"/>
          <w:szCs w:val="20"/>
        </w:rPr>
        <w:t>8</w:t>
      </w:r>
      <w:r w:rsidR="007C738A">
        <w:rPr>
          <w:rFonts w:ascii="Verdana" w:hAnsi="Verdana" w:cs="Arial"/>
          <w:bCs/>
          <w:sz w:val="20"/>
          <w:szCs w:val="20"/>
        </w:rPr>
        <w:t>. y 2.10.2.</w:t>
      </w:r>
      <w:r w:rsidR="00121456">
        <w:rPr>
          <w:rFonts w:ascii="Verdana" w:hAnsi="Verdana" w:cs="Arial"/>
          <w:bCs/>
          <w:sz w:val="20"/>
          <w:szCs w:val="20"/>
        </w:rPr>
        <w:t>53</w:t>
      </w:r>
      <w:r w:rsidR="00341A1F">
        <w:rPr>
          <w:rFonts w:ascii="Verdana" w:hAnsi="Verdana" w:cs="Arial"/>
          <w:bCs/>
          <w:sz w:val="20"/>
          <w:szCs w:val="20"/>
        </w:rPr>
        <w:t>.</w:t>
      </w:r>
      <w:r w:rsidRPr="00897CE6">
        <w:rPr>
          <w:rFonts w:ascii="Verdana" w:hAnsi="Verdana" w:cs="Arial"/>
          <w:bCs/>
          <w:sz w:val="20"/>
          <w:szCs w:val="20"/>
        </w:rPr>
        <w:t>:</w:t>
      </w:r>
    </w:p>
    <w:p w14:paraId="1AF04D02" w14:textId="77777777" w:rsidR="00A01579" w:rsidRDefault="00A01579" w:rsidP="00CF1B34">
      <w:pPr>
        <w:jc w:val="both"/>
        <w:rPr>
          <w:rFonts w:ascii="Verdana" w:hAnsi="Verdana" w:cs="Arial"/>
          <w:bCs/>
          <w:sz w:val="20"/>
          <w:szCs w:val="20"/>
        </w:rPr>
      </w:pPr>
    </w:p>
    <w:p w14:paraId="47E7B2C6" w14:textId="77777777" w:rsidR="00D32139" w:rsidRPr="00897CE6" w:rsidRDefault="00D32139" w:rsidP="00CF1B34">
      <w:pPr>
        <w:jc w:val="both"/>
        <w:rPr>
          <w:rFonts w:ascii="Verdana" w:hAnsi="Verdana" w:cs="Arial"/>
          <w:bCs/>
          <w:sz w:val="20"/>
          <w:szCs w:val="20"/>
        </w:rPr>
      </w:pPr>
    </w:p>
    <w:tbl>
      <w:tblPr>
        <w:tblStyle w:val="Tablaconcuadrcula"/>
        <w:tblW w:w="0" w:type="auto"/>
        <w:jc w:val="center"/>
        <w:tblLook w:val="04A0" w:firstRow="1" w:lastRow="0" w:firstColumn="1" w:lastColumn="0" w:noHBand="0" w:noVBand="1"/>
      </w:tblPr>
      <w:tblGrid>
        <w:gridCol w:w="5524"/>
        <w:gridCol w:w="3235"/>
      </w:tblGrid>
      <w:tr w:rsidR="00CF1B34" w:rsidRPr="00897CE6" w14:paraId="185EB226" w14:textId="77777777" w:rsidTr="005069FB">
        <w:trPr>
          <w:trHeight w:val="414"/>
          <w:jc w:val="center"/>
        </w:trPr>
        <w:tc>
          <w:tcPr>
            <w:tcW w:w="5524" w:type="dxa"/>
            <w:shd w:val="clear" w:color="auto" w:fill="D1D1D1" w:themeFill="background2" w:themeFillShade="E6"/>
            <w:vAlign w:val="center"/>
          </w:tcPr>
          <w:p w14:paraId="3C284A19" w14:textId="77777777" w:rsidR="00CF1B34" w:rsidRPr="005069FB" w:rsidRDefault="00CF1B34" w:rsidP="00006A93">
            <w:pPr>
              <w:jc w:val="center"/>
              <w:rPr>
                <w:rFonts w:ascii="Verdana" w:hAnsi="Verdana" w:cs="Arial"/>
                <w:b/>
                <w:sz w:val="16"/>
                <w:szCs w:val="16"/>
              </w:rPr>
            </w:pPr>
            <w:r w:rsidRPr="005069FB">
              <w:rPr>
                <w:rFonts w:ascii="Verdana" w:hAnsi="Verdana" w:cs="Arial"/>
                <w:b/>
                <w:sz w:val="16"/>
                <w:szCs w:val="16"/>
              </w:rPr>
              <w:lastRenderedPageBreak/>
              <w:t>Tipo de garantía</w:t>
            </w:r>
          </w:p>
        </w:tc>
        <w:tc>
          <w:tcPr>
            <w:tcW w:w="3235" w:type="dxa"/>
            <w:shd w:val="clear" w:color="auto" w:fill="D1D1D1" w:themeFill="background2" w:themeFillShade="E6"/>
            <w:vAlign w:val="center"/>
          </w:tcPr>
          <w:p w14:paraId="70AF83C3" w14:textId="77777777" w:rsidR="00CF1B34" w:rsidRPr="005069FB" w:rsidRDefault="00CF1B34" w:rsidP="2A78066E">
            <w:pPr>
              <w:jc w:val="center"/>
              <w:rPr>
                <w:rFonts w:ascii="Verdana" w:hAnsi="Verdana" w:cs="Arial"/>
                <w:b/>
                <w:bCs/>
                <w:i/>
                <w:iCs/>
                <w:sz w:val="16"/>
                <w:szCs w:val="16"/>
              </w:rPr>
            </w:pPr>
            <w:r w:rsidRPr="005069FB">
              <w:rPr>
                <w:rFonts w:ascii="Verdana" w:hAnsi="Verdana" w:cs="Arial"/>
                <w:b/>
                <w:bCs/>
                <w:i/>
                <w:iCs/>
                <w:sz w:val="16"/>
                <w:szCs w:val="16"/>
              </w:rPr>
              <w:t>Fg</w:t>
            </w:r>
          </w:p>
        </w:tc>
      </w:tr>
      <w:tr w:rsidR="00CF1B34" w:rsidRPr="00897CE6" w14:paraId="3BAFE2E9" w14:textId="77777777" w:rsidTr="2A78066E">
        <w:trPr>
          <w:trHeight w:val="283"/>
          <w:jc w:val="center"/>
        </w:trPr>
        <w:tc>
          <w:tcPr>
            <w:tcW w:w="5524" w:type="dxa"/>
            <w:vAlign w:val="center"/>
          </w:tcPr>
          <w:p w14:paraId="03E51B46" w14:textId="77777777" w:rsidR="00CF1B34" w:rsidRPr="005069FB" w:rsidRDefault="00CF1B34" w:rsidP="00006A93">
            <w:pPr>
              <w:rPr>
                <w:rFonts w:ascii="Verdana" w:hAnsi="Verdana" w:cs="Arial"/>
                <w:bCs/>
                <w:sz w:val="16"/>
                <w:szCs w:val="16"/>
              </w:rPr>
            </w:pPr>
            <w:r w:rsidRPr="005069FB">
              <w:rPr>
                <w:rFonts w:ascii="Verdana" w:hAnsi="Verdana" w:cs="Arial"/>
                <w:bCs/>
                <w:sz w:val="16"/>
                <w:szCs w:val="16"/>
              </w:rPr>
              <w:t>Depósitos de dinero, así como efectivo en pesos o divisas</w:t>
            </w:r>
          </w:p>
        </w:tc>
        <w:tc>
          <w:tcPr>
            <w:tcW w:w="3235" w:type="dxa"/>
            <w:vAlign w:val="center"/>
          </w:tcPr>
          <w:p w14:paraId="0753FA24" w14:textId="77777777" w:rsidR="00CF1B34" w:rsidRPr="005069FB" w:rsidRDefault="00CF1B34" w:rsidP="00006A93">
            <w:pPr>
              <w:jc w:val="center"/>
              <w:rPr>
                <w:rFonts w:ascii="Verdana" w:hAnsi="Verdana" w:cs="Arial"/>
                <w:bCs/>
                <w:sz w:val="16"/>
                <w:szCs w:val="16"/>
              </w:rPr>
            </w:pPr>
            <w:r w:rsidRPr="005069FB">
              <w:rPr>
                <w:rFonts w:ascii="Verdana" w:hAnsi="Verdana" w:cs="Arial"/>
                <w:bCs/>
                <w:sz w:val="16"/>
                <w:szCs w:val="16"/>
              </w:rPr>
              <w:t>0%</w:t>
            </w:r>
          </w:p>
        </w:tc>
      </w:tr>
      <w:tr w:rsidR="00CF1B34" w:rsidRPr="00897CE6" w14:paraId="1A7DCBB2" w14:textId="77777777" w:rsidTr="2A78066E">
        <w:trPr>
          <w:trHeight w:val="283"/>
          <w:jc w:val="center"/>
        </w:trPr>
        <w:tc>
          <w:tcPr>
            <w:tcW w:w="5524" w:type="dxa"/>
            <w:vAlign w:val="center"/>
          </w:tcPr>
          <w:p w14:paraId="65A0E872" w14:textId="77777777" w:rsidR="00CF1B34" w:rsidRPr="005069FB" w:rsidRDefault="00CF1B34" w:rsidP="00006A93">
            <w:pPr>
              <w:rPr>
                <w:rFonts w:ascii="Verdana" w:hAnsi="Verdana" w:cs="Arial"/>
                <w:bCs/>
                <w:sz w:val="16"/>
                <w:szCs w:val="16"/>
              </w:rPr>
            </w:pPr>
            <w:r w:rsidRPr="005069FB">
              <w:rPr>
                <w:rFonts w:ascii="Verdana" w:hAnsi="Verdana" w:cs="Arial"/>
                <w:bCs/>
                <w:sz w:val="16"/>
                <w:szCs w:val="16"/>
              </w:rPr>
              <w:t>Garantía soberana de la Nación</w:t>
            </w:r>
          </w:p>
        </w:tc>
        <w:tc>
          <w:tcPr>
            <w:tcW w:w="3235" w:type="dxa"/>
            <w:vAlign w:val="center"/>
          </w:tcPr>
          <w:p w14:paraId="69025B84" w14:textId="77777777" w:rsidR="00CF1B34" w:rsidRPr="005069FB" w:rsidRDefault="00CF1B34" w:rsidP="00006A93">
            <w:pPr>
              <w:jc w:val="center"/>
              <w:rPr>
                <w:rFonts w:ascii="Verdana" w:hAnsi="Verdana" w:cs="Arial"/>
                <w:bCs/>
                <w:sz w:val="16"/>
                <w:szCs w:val="16"/>
              </w:rPr>
            </w:pPr>
            <w:r w:rsidRPr="005069FB">
              <w:rPr>
                <w:rFonts w:ascii="Verdana" w:hAnsi="Verdana" w:cs="Arial"/>
                <w:bCs/>
                <w:sz w:val="16"/>
                <w:szCs w:val="16"/>
              </w:rPr>
              <w:t>0%</w:t>
            </w:r>
          </w:p>
        </w:tc>
      </w:tr>
      <w:tr w:rsidR="00CF1B34" w:rsidRPr="00897CE6" w14:paraId="6815C05B" w14:textId="77777777" w:rsidTr="2A78066E">
        <w:trPr>
          <w:trHeight w:val="283"/>
          <w:jc w:val="center"/>
        </w:trPr>
        <w:tc>
          <w:tcPr>
            <w:tcW w:w="5524" w:type="dxa"/>
            <w:vAlign w:val="center"/>
          </w:tcPr>
          <w:p w14:paraId="66FC1EFD" w14:textId="77777777" w:rsidR="00CF1B34" w:rsidRPr="005069FB" w:rsidRDefault="00CF1B34" w:rsidP="2A78066E">
            <w:pPr>
              <w:rPr>
                <w:rFonts w:ascii="Verdana" w:hAnsi="Verdana" w:cs="Arial"/>
                <w:sz w:val="16"/>
                <w:szCs w:val="16"/>
              </w:rPr>
            </w:pPr>
            <w:r w:rsidRPr="005069FB">
              <w:rPr>
                <w:rFonts w:ascii="Verdana" w:hAnsi="Verdana" w:cs="Arial"/>
                <w:sz w:val="16"/>
                <w:szCs w:val="16"/>
              </w:rPr>
              <w:t xml:space="preserve">Garantías bancarias y Cartas </w:t>
            </w:r>
            <w:r w:rsidRPr="005069FB">
              <w:rPr>
                <w:rFonts w:ascii="Verdana" w:hAnsi="Verdana" w:cs="Arial"/>
                <w:i/>
                <w:iCs/>
                <w:sz w:val="16"/>
                <w:szCs w:val="16"/>
              </w:rPr>
              <w:t>Stand-by</w:t>
            </w:r>
          </w:p>
        </w:tc>
        <w:tc>
          <w:tcPr>
            <w:tcW w:w="3235" w:type="dxa"/>
            <w:vAlign w:val="center"/>
          </w:tcPr>
          <w:p w14:paraId="713DBA02" w14:textId="77777777" w:rsidR="00CF1B34" w:rsidRPr="005069FB" w:rsidRDefault="00CF1B34" w:rsidP="00006A93">
            <w:pPr>
              <w:jc w:val="center"/>
              <w:rPr>
                <w:rFonts w:ascii="Verdana" w:hAnsi="Verdana" w:cs="Arial"/>
                <w:bCs/>
                <w:sz w:val="16"/>
                <w:szCs w:val="16"/>
              </w:rPr>
            </w:pPr>
            <w:r w:rsidRPr="005069FB">
              <w:rPr>
                <w:rFonts w:ascii="Verdana" w:hAnsi="Verdana" w:cs="Arial"/>
                <w:bCs/>
                <w:sz w:val="16"/>
                <w:szCs w:val="16"/>
              </w:rPr>
              <w:t>0%</w:t>
            </w:r>
          </w:p>
        </w:tc>
      </w:tr>
      <w:tr w:rsidR="00CF1B34" w:rsidRPr="00897CE6" w14:paraId="07951D6A" w14:textId="77777777" w:rsidTr="2A78066E">
        <w:trPr>
          <w:trHeight w:val="283"/>
          <w:jc w:val="center"/>
        </w:trPr>
        <w:tc>
          <w:tcPr>
            <w:tcW w:w="5524" w:type="dxa"/>
            <w:vAlign w:val="center"/>
          </w:tcPr>
          <w:p w14:paraId="258156F9" w14:textId="77777777" w:rsidR="00CF1B34" w:rsidRPr="005069FB" w:rsidRDefault="00CF1B34" w:rsidP="00006A93">
            <w:pPr>
              <w:rPr>
                <w:rFonts w:ascii="Verdana" w:hAnsi="Verdana" w:cs="Arial"/>
                <w:bCs/>
                <w:sz w:val="16"/>
                <w:szCs w:val="16"/>
              </w:rPr>
            </w:pPr>
            <w:r w:rsidRPr="005069FB">
              <w:rPr>
                <w:rFonts w:ascii="Verdana" w:hAnsi="Verdana" w:cs="Arial"/>
                <w:bCs/>
                <w:sz w:val="16"/>
                <w:szCs w:val="16"/>
              </w:rPr>
              <w:t>Títulos de renta fija aceptados por el Banco de la República en operaciones repo de expansión.</w:t>
            </w:r>
          </w:p>
        </w:tc>
        <w:tc>
          <w:tcPr>
            <w:tcW w:w="3235" w:type="dxa"/>
            <w:vAlign w:val="center"/>
          </w:tcPr>
          <w:p w14:paraId="6DF26838" w14:textId="77777777" w:rsidR="00CF1B34" w:rsidRPr="005069FB" w:rsidRDefault="00CF1B34" w:rsidP="2A78066E">
            <w:pPr>
              <w:jc w:val="both"/>
              <w:rPr>
                <w:rFonts w:ascii="Verdana" w:hAnsi="Verdana" w:cs="Arial"/>
                <w:sz w:val="16"/>
                <w:szCs w:val="16"/>
              </w:rPr>
            </w:pPr>
            <w:r w:rsidRPr="005069FB">
              <w:rPr>
                <w:rFonts w:ascii="Verdana" w:hAnsi="Verdana" w:cs="Arial"/>
                <w:sz w:val="16"/>
                <w:szCs w:val="16"/>
              </w:rPr>
              <w:t>Se deben aplicar los descuentos definidos por el Banco de la República, los cuales son publicados en su página web.</w:t>
            </w:r>
          </w:p>
        </w:tc>
      </w:tr>
      <w:tr w:rsidR="00CF1B34" w:rsidRPr="00897CE6" w14:paraId="22579B45" w14:textId="77777777" w:rsidTr="2A78066E">
        <w:trPr>
          <w:trHeight w:val="283"/>
          <w:jc w:val="center"/>
        </w:trPr>
        <w:tc>
          <w:tcPr>
            <w:tcW w:w="5524" w:type="dxa"/>
            <w:vAlign w:val="center"/>
          </w:tcPr>
          <w:p w14:paraId="7E9622BA" w14:textId="77777777" w:rsidR="00CF1B34" w:rsidRPr="005069FB" w:rsidRDefault="00CF1B34" w:rsidP="00006A93">
            <w:pPr>
              <w:rPr>
                <w:rFonts w:ascii="Verdana" w:hAnsi="Verdana" w:cs="Arial"/>
                <w:bCs/>
                <w:sz w:val="16"/>
                <w:szCs w:val="16"/>
              </w:rPr>
            </w:pPr>
            <w:r w:rsidRPr="005069FB">
              <w:rPr>
                <w:rFonts w:ascii="Verdana" w:hAnsi="Verdana" w:cs="Arial"/>
                <w:sz w:val="16"/>
                <w:szCs w:val="16"/>
              </w:rPr>
              <w:t>Títulos de deuda pública extranjera de emisores con grado de inversión</w:t>
            </w:r>
          </w:p>
        </w:tc>
        <w:tc>
          <w:tcPr>
            <w:tcW w:w="3235" w:type="dxa"/>
            <w:vAlign w:val="center"/>
          </w:tcPr>
          <w:p w14:paraId="60BF34C0" w14:textId="77777777" w:rsidR="00CF1B34" w:rsidRPr="005069FB" w:rsidRDefault="00CF1B34" w:rsidP="00006A93">
            <w:pPr>
              <w:jc w:val="center"/>
              <w:rPr>
                <w:rFonts w:ascii="Verdana" w:hAnsi="Verdana" w:cs="Arial"/>
                <w:bCs/>
                <w:sz w:val="16"/>
                <w:szCs w:val="16"/>
              </w:rPr>
            </w:pPr>
            <w:r w:rsidRPr="005069FB">
              <w:rPr>
                <w:rFonts w:ascii="Verdana" w:hAnsi="Verdana" w:cs="Arial"/>
                <w:bCs/>
                <w:sz w:val="16"/>
                <w:szCs w:val="16"/>
              </w:rPr>
              <w:t>4%</w:t>
            </w:r>
          </w:p>
        </w:tc>
      </w:tr>
      <w:tr w:rsidR="00CF1B34" w:rsidRPr="00897CE6" w14:paraId="7C58C59F" w14:textId="77777777" w:rsidTr="2A78066E">
        <w:trPr>
          <w:trHeight w:val="283"/>
          <w:jc w:val="center"/>
        </w:trPr>
        <w:tc>
          <w:tcPr>
            <w:tcW w:w="5524" w:type="dxa"/>
            <w:vAlign w:val="center"/>
          </w:tcPr>
          <w:p w14:paraId="15EC60AA" w14:textId="77777777" w:rsidR="00CF1B34" w:rsidRPr="005069FB" w:rsidRDefault="00CF1B34" w:rsidP="00006A93">
            <w:pPr>
              <w:rPr>
                <w:rFonts w:ascii="Verdana" w:hAnsi="Verdana" w:cs="Arial"/>
                <w:bCs/>
                <w:sz w:val="16"/>
                <w:szCs w:val="16"/>
              </w:rPr>
            </w:pPr>
            <w:r w:rsidRPr="005069FB">
              <w:rPr>
                <w:rFonts w:ascii="Verdana" w:hAnsi="Verdana" w:cs="Arial"/>
                <w:bCs/>
                <w:sz w:val="16"/>
                <w:szCs w:val="16"/>
              </w:rPr>
              <w:t>Seguros de crédito</w:t>
            </w:r>
          </w:p>
        </w:tc>
        <w:tc>
          <w:tcPr>
            <w:tcW w:w="3235" w:type="dxa"/>
            <w:vAlign w:val="center"/>
          </w:tcPr>
          <w:p w14:paraId="28450EE2" w14:textId="77777777" w:rsidR="00CF1B34" w:rsidRPr="005069FB" w:rsidRDefault="00CF1B34" w:rsidP="00006A93">
            <w:pPr>
              <w:jc w:val="center"/>
              <w:rPr>
                <w:rFonts w:ascii="Verdana" w:hAnsi="Verdana" w:cs="Arial"/>
                <w:bCs/>
                <w:sz w:val="16"/>
                <w:szCs w:val="16"/>
              </w:rPr>
            </w:pPr>
            <w:r w:rsidRPr="005069FB">
              <w:rPr>
                <w:rFonts w:ascii="Verdana" w:hAnsi="Verdana" w:cs="Arial"/>
                <w:bCs/>
                <w:sz w:val="16"/>
                <w:szCs w:val="16"/>
              </w:rPr>
              <w:t>12%</w:t>
            </w:r>
          </w:p>
        </w:tc>
      </w:tr>
      <w:tr w:rsidR="00CF1B34" w:rsidRPr="00897CE6" w14:paraId="405CA2BF" w14:textId="77777777" w:rsidTr="2A78066E">
        <w:trPr>
          <w:trHeight w:val="283"/>
          <w:jc w:val="center"/>
        </w:trPr>
        <w:tc>
          <w:tcPr>
            <w:tcW w:w="5524" w:type="dxa"/>
            <w:vAlign w:val="center"/>
          </w:tcPr>
          <w:p w14:paraId="74A25693" w14:textId="77777777" w:rsidR="00CF1B34" w:rsidRPr="005069FB" w:rsidRDefault="00CF1B34" w:rsidP="00006A93">
            <w:pPr>
              <w:rPr>
                <w:rFonts w:ascii="Verdana" w:hAnsi="Verdana" w:cs="Arial"/>
                <w:bCs/>
                <w:sz w:val="16"/>
                <w:szCs w:val="16"/>
              </w:rPr>
            </w:pPr>
            <w:r w:rsidRPr="005069FB">
              <w:rPr>
                <w:rFonts w:ascii="Verdana" w:hAnsi="Verdana" w:cs="Arial"/>
                <w:bCs/>
                <w:sz w:val="16"/>
                <w:szCs w:val="16"/>
              </w:rPr>
              <w:t xml:space="preserve">Fondos de garantía locales que administran recursos públicos del orden nacional </w:t>
            </w:r>
          </w:p>
        </w:tc>
        <w:tc>
          <w:tcPr>
            <w:tcW w:w="3235" w:type="dxa"/>
            <w:vAlign w:val="center"/>
          </w:tcPr>
          <w:p w14:paraId="12E04250" w14:textId="77777777" w:rsidR="00CF1B34" w:rsidRPr="005069FB" w:rsidRDefault="00CF1B34" w:rsidP="00006A93">
            <w:pPr>
              <w:jc w:val="center"/>
              <w:rPr>
                <w:rFonts w:ascii="Verdana" w:hAnsi="Verdana" w:cs="Arial"/>
                <w:bCs/>
                <w:sz w:val="16"/>
                <w:szCs w:val="16"/>
              </w:rPr>
            </w:pPr>
            <w:r w:rsidRPr="005069FB">
              <w:rPr>
                <w:rFonts w:ascii="Verdana" w:hAnsi="Verdana" w:cs="Arial"/>
                <w:bCs/>
                <w:sz w:val="16"/>
                <w:szCs w:val="16"/>
              </w:rPr>
              <w:t>12%</w:t>
            </w:r>
          </w:p>
        </w:tc>
      </w:tr>
      <w:tr w:rsidR="00CF1B34" w:rsidRPr="00897CE6" w14:paraId="2DF5CB36" w14:textId="77777777" w:rsidTr="2A78066E">
        <w:trPr>
          <w:trHeight w:val="283"/>
          <w:jc w:val="center"/>
        </w:trPr>
        <w:tc>
          <w:tcPr>
            <w:tcW w:w="5524" w:type="dxa"/>
            <w:vAlign w:val="center"/>
          </w:tcPr>
          <w:p w14:paraId="3CDC4F41" w14:textId="77777777" w:rsidR="00CF1B34" w:rsidRPr="005069FB" w:rsidRDefault="00CF1B34" w:rsidP="00006A93">
            <w:pPr>
              <w:rPr>
                <w:rFonts w:ascii="Verdana" w:hAnsi="Verdana" w:cs="Arial"/>
                <w:bCs/>
                <w:sz w:val="16"/>
                <w:szCs w:val="16"/>
              </w:rPr>
            </w:pPr>
            <w:r w:rsidRPr="005069FB">
              <w:rPr>
                <w:rFonts w:ascii="Verdana" w:hAnsi="Verdana" w:cs="Arial"/>
                <w:bCs/>
                <w:sz w:val="16"/>
                <w:szCs w:val="16"/>
              </w:rPr>
              <w:t>Títulos y valores dados en garantía emitidos por entidades vigiladas</w:t>
            </w:r>
          </w:p>
        </w:tc>
        <w:tc>
          <w:tcPr>
            <w:tcW w:w="3235" w:type="dxa"/>
            <w:vAlign w:val="center"/>
          </w:tcPr>
          <w:p w14:paraId="6AD95098" w14:textId="77777777" w:rsidR="00CF1B34" w:rsidRPr="005069FB" w:rsidRDefault="00CF1B34" w:rsidP="00006A93">
            <w:pPr>
              <w:jc w:val="center"/>
              <w:rPr>
                <w:rFonts w:ascii="Verdana" w:hAnsi="Verdana" w:cs="Arial"/>
                <w:bCs/>
                <w:sz w:val="16"/>
                <w:szCs w:val="16"/>
              </w:rPr>
            </w:pPr>
            <w:r w:rsidRPr="005069FB">
              <w:rPr>
                <w:rFonts w:ascii="Verdana" w:hAnsi="Verdana" w:cs="Arial"/>
                <w:bCs/>
                <w:sz w:val="16"/>
                <w:szCs w:val="16"/>
              </w:rPr>
              <w:t>12%</w:t>
            </w:r>
          </w:p>
        </w:tc>
      </w:tr>
      <w:tr w:rsidR="00CF1B34" w:rsidRPr="00897CE6" w14:paraId="50B3BFA8" w14:textId="77777777" w:rsidTr="2A78066E">
        <w:trPr>
          <w:trHeight w:val="283"/>
          <w:jc w:val="center"/>
        </w:trPr>
        <w:tc>
          <w:tcPr>
            <w:tcW w:w="5524" w:type="dxa"/>
            <w:vAlign w:val="center"/>
          </w:tcPr>
          <w:p w14:paraId="498190FC" w14:textId="77777777" w:rsidR="00CF1B34" w:rsidRPr="005069FB" w:rsidRDefault="00CF1B34" w:rsidP="00006A93">
            <w:pPr>
              <w:rPr>
                <w:rFonts w:ascii="Verdana" w:hAnsi="Verdana" w:cs="Arial"/>
                <w:bCs/>
                <w:sz w:val="16"/>
                <w:szCs w:val="16"/>
              </w:rPr>
            </w:pPr>
            <w:r w:rsidRPr="005069FB">
              <w:rPr>
                <w:rFonts w:ascii="Verdana" w:hAnsi="Verdana" w:cs="Arial"/>
                <w:bCs/>
                <w:sz w:val="16"/>
                <w:szCs w:val="16"/>
              </w:rPr>
              <w:t>Derechos de cobro</w:t>
            </w:r>
          </w:p>
        </w:tc>
        <w:tc>
          <w:tcPr>
            <w:tcW w:w="3235" w:type="dxa"/>
            <w:vAlign w:val="center"/>
          </w:tcPr>
          <w:p w14:paraId="0AA4007F" w14:textId="77777777" w:rsidR="00CF1B34" w:rsidRPr="005069FB" w:rsidRDefault="00CF1B34" w:rsidP="00006A93">
            <w:pPr>
              <w:jc w:val="center"/>
              <w:rPr>
                <w:rFonts w:ascii="Verdana" w:hAnsi="Verdana" w:cs="Arial"/>
                <w:bCs/>
                <w:sz w:val="16"/>
                <w:szCs w:val="16"/>
              </w:rPr>
            </w:pPr>
            <w:r w:rsidRPr="005069FB">
              <w:rPr>
                <w:rFonts w:ascii="Verdana" w:hAnsi="Verdana" w:cs="Arial"/>
                <w:bCs/>
                <w:sz w:val="16"/>
                <w:szCs w:val="16"/>
              </w:rPr>
              <w:t>45%</w:t>
            </w:r>
          </w:p>
        </w:tc>
      </w:tr>
    </w:tbl>
    <w:p w14:paraId="5DB7AC5D" w14:textId="77777777" w:rsidR="00D32139" w:rsidRDefault="00D32139" w:rsidP="00150681">
      <w:pPr>
        <w:tabs>
          <w:tab w:val="left" w:pos="540"/>
        </w:tabs>
        <w:spacing w:after="0" w:line="240" w:lineRule="auto"/>
        <w:jc w:val="both"/>
        <w:rPr>
          <w:rFonts w:ascii="Verdana" w:hAnsi="Verdana" w:cs="Arial"/>
          <w:bCs/>
          <w:sz w:val="20"/>
          <w:szCs w:val="20"/>
        </w:rPr>
      </w:pPr>
    </w:p>
    <w:p w14:paraId="159A0E61" w14:textId="6A4B16D4" w:rsidR="00150681" w:rsidRPr="001B7405" w:rsidRDefault="00150681" w:rsidP="00150681">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2.10.2.</w:t>
      </w:r>
      <w:r w:rsidR="00121456">
        <w:rPr>
          <w:rFonts w:ascii="Verdana" w:hAnsi="Verdana" w:cs="Arial"/>
          <w:bCs/>
          <w:sz w:val="20"/>
          <w:szCs w:val="20"/>
        </w:rPr>
        <w:t>56</w:t>
      </w:r>
      <w:r w:rsidRPr="001B7405">
        <w:rPr>
          <w:rFonts w:ascii="Verdana" w:hAnsi="Verdana" w:cs="Arial"/>
          <w:bCs/>
          <w:sz w:val="20"/>
          <w:szCs w:val="20"/>
        </w:rPr>
        <w:t>.</w:t>
      </w:r>
    </w:p>
    <w:p w14:paraId="32731A3E" w14:textId="2C1B5E37" w:rsidR="00CF1B34" w:rsidRPr="00897CE6" w:rsidRDefault="00CF1B34" w:rsidP="2A78066E">
      <w:pPr>
        <w:jc w:val="both"/>
        <w:rPr>
          <w:rFonts w:ascii="Verdana" w:hAnsi="Verdana" w:cs="Arial"/>
          <w:sz w:val="20"/>
          <w:szCs w:val="20"/>
        </w:rPr>
      </w:pPr>
      <w:r w:rsidRPr="2A78066E">
        <w:rPr>
          <w:rFonts w:ascii="Verdana" w:hAnsi="Verdana" w:cs="Arial"/>
          <w:sz w:val="20"/>
          <w:szCs w:val="20"/>
        </w:rPr>
        <w:t xml:space="preserve">Para efectos del control y límite a las grandes exposiciones, y en concordancia con el inciso segundo del artículo 2.1.2.1.6 del Decreto 2555 de 2010, las garantías bancarias y cartas </w:t>
      </w:r>
      <w:r w:rsidRPr="2A78066E">
        <w:rPr>
          <w:rFonts w:ascii="Verdana" w:hAnsi="Verdana" w:cs="Arial"/>
          <w:i/>
          <w:iCs/>
          <w:sz w:val="20"/>
          <w:szCs w:val="20"/>
        </w:rPr>
        <w:t xml:space="preserve">stand-by </w:t>
      </w:r>
      <w:r w:rsidRPr="2A78066E">
        <w:rPr>
          <w:rFonts w:ascii="Verdana" w:hAnsi="Verdana" w:cs="Arial"/>
          <w:sz w:val="20"/>
          <w:szCs w:val="20"/>
        </w:rPr>
        <w:t xml:space="preserve">se consideran garantía idónea únicamente cuando sean emitidas u otorgadas por entidades no vinculadas a la entidad vigilada correspondiente. </w:t>
      </w:r>
    </w:p>
    <w:p w14:paraId="002C14E8" w14:textId="609DF29D" w:rsidR="00150681" w:rsidRPr="001B7405" w:rsidRDefault="00150681" w:rsidP="00150681">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2.10.2.</w:t>
      </w:r>
      <w:r w:rsidR="00121456">
        <w:rPr>
          <w:rFonts w:ascii="Verdana" w:hAnsi="Verdana" w:cs="Arial"/>
          <w:bCs/>
          <w:sz w:val="20"/>
          <w:szCs w:val="20"/>
        </w:rPr>
        <w:t>57</w:t>
      </w:r>
      <w:r w:rsidRPr="001B7405">
        <w:rPr>
          <w:rFonts w:ascii="Verdana" w:hAnsi="Verdana" w:cs="Arial"/>
          <w:bCs/>
          <w:sz w:val="20"/>
          <w:szCs w:val="20"/>
        </w:rPr>
        <w:t>.</w:t>
      </w:r>
    </w:p>
    <w:p w14:paraId="38D00E4D" w14:textId="0F3AFA20" w:rsidR="00CF1B34" w:rsidRPr="005069FB" w:rsidRDefault="00CF1B34" w:rsidP="00CF1B34">
      <w:pPr>
        <w:jc w:val="both"/>
        <w:rPr>
          <w:rFonts w:ascii="Verdana" w:hAnsi="Verdana" w:cs="Arial"/>
          <w:sz w:val="20"/>
          <w:szCs w:val="20"/>
        </w:rPr>
      </w:pPr>
      <w:r w:rsidRPr="2A78066E">
        <w:rPr>
          <w:rFonts w:ascii="Verdana" w:hAnsi="Verdana" w:cs="Arial"/>
          <w:sz w:val="20"/>
          <w:szCs w:val="20"/>
        </w:rPr>
        <w:t xml:space="preserve">Dependiendo de la moneda en la cual sean pactadas, emitidas o denominadas las respectivas garantías, el factor de ajuste cambiario aplicable para el cálculo del valor de exposición señalado </w:t>
      </w:r>
      <w:r w:rsidR="00341A1F">
        <w:rPr>
          <w:rFonts w:ascii="Verdana" w:hAnsi="Verdana" w:cs="Arial"/>
          <w:bCs/>
          <w:sz w:val="20"/>
          <w:szCs w:val="20"/>
        </w:rPr>
        <w:t>entre los párrafos 2.10.2.</w:t>
      </w:r>
      <w:r w:rsidR="00121456">
        <w:rPr>
          <w:rFonts w:ascii="Verdana" w:hAnsi="Verdana" w:cs="Arial"/>
          <w:bCs/>
          <w:sz w:val="20"/>
          <w:szCs w:val="20"/>
        </w:rPr>
        <w:t>48</w:t>
      </w:r>
      <w:r w:rsidR="00341A1F">
        <w:rPr>
          <w:rFonts w:ascii="Verdana" w:hAnsi="Verdana" w:cs="Arial"/>
          <w:bCs/>
          <w:sz w:val="20"/>
          <w:szCs w:val="20"/>
        </w:rPr>
        <w:t>. y 2.10.2.</w:t>
      </w:r>
      <w:r w:rsidR="00170972">
        <w:rPr>
          <w:rFonts w:ascii="Verdana" w:hAnsi="Verdana" w:cs="Arial"/>
          <w:bCs/>
          <w:sz w:val="20"/>
          <w:szCs w:val="20"/>
        </w:rPr>
        <w:t>53</w:t>
      </w:r>
      <w:r w:rsidR="00341A1F">
        <w:rPr>
          <w:rFonts w:ascii="Verdana" w:hAnsi="Verdana" w:cs="Arial"/>
          <w:bCs/>
          <w:sz w:val="20"/>
          <w:szCs w:val="20"/>
        </w:rPr>
        <w:t>.</w:t>
      </w:r>
      <w:r w:rsidRPr="2A78066E">
        <w:rPr>
          <w:rFonts w:ascii="Verdana" w:hAnsi="Verdana" w:cs="Arial"/>
          <w:sz w:val="20"/>
          <w:szCs w:val="20"/>
        </w:rPr>
        <w:t xml:space="preserve"> será:</w:t>
      </w:r>
    </w:p>
    <w:tbl>
      <w:tblPr>
        <w:tblStyle w:val="Tablaconcuadrcula"/>
        <w:tblW w:w="0" w:type="auto"/>
        <w:jc w:val="center"/>
        <w:tblLook w:val="04A0" w:firstRow="1" w:lastRow="0" w:firstColumn="1" w:lastColumn="0" w:noHBand="0" w:noVBand="1"/>
      </w:tblPr>
      <w:tblGrid>
        <w:gridCol w:w="6374"/>
        <w:gridCol w:w="992"/>
      </w:tblGrid>
      <w:tr w:rsidR="00CF1B34" w:rsidRPr="00897CE6" w14:paraId="358DB33F" w14:textId="77777777" w:rsidTr="00EE38EC">
        <w:trPr>
          <w:trHeight w:val="283"/>
          <w:jc w:val="center"/>
        </w:trPr>
        <w:tc>
          <w:tcPr>
            <w:tcW w:w="6374" w:type="dxa"/>
            <w:shd w:val="clear" w:color="auto" w:fill="D1D1D1" w:themeFill="background2" w:themeFillShade="E6"/>
            <w:vAlign w:val="center"/>
          </w:tcPr>
          <w:p w14:paraId="20C172EC" w14:textId="77777777" w:rsidR="00CF1B34" w:rsidRPr="005069FB" w:rsidRDefault="00CF1B34" w:rsidP="00006A93">
            <w:pPr>
              <w:jc w:val="center"/>
              <w:rPr>
                <w:rFonts w:ascii="Verdana" w:hAnsi="Verdana" w:cs="Arial"/>
                <w:b/>
                <w:sz w:val="16"/>
                <w:szCs w:val="16"/>
              </w:rPr>
            </w:pPr>
            <w:r w:rsidRPr="005069FB">
              <w:rPr>
                <w:rFonts w:ascii="Verdana" w:hAnsi="Verdana" w:cs="Arial"/>
                <w:b/>
                <w:sz w:val="16"/>
                <w:szCs w:val="16"/>
              </w:rPr>
              <w:t>Moneda</w:t>
            </w:r>
          </w:p>
        </w:tc>
        <w:tc>
          <w:tcPr>
            <w:tcW w:w="992" w:type="dxa"/>
            <w:shd w:val="clear" w:color="auto" w:fill="D1D1D1" w:themeFill="background2" w:themeFillShade="E6"/>
            <w:vAlign w:val="center"/>
          </w:tcPr>
          <w:p w14:paraId="38627E22" w14:textId="77777777" w:rsidR="00CF1B34" w:rsidRPr="005069FB" w:rsidRDefault="00CF1B34" w:rsidP="00006A93">
            <w:pPr>
              <w:jc w:val="center"/>
              <w:rPr>
                <w:rFonts w:ascii="Verdana" w:hAnsi="Verdana" w:cs="Arial"/>
                <w:b/>
                <w:i/>
                <w:iCs/>
                <w:sz w:val="16"/>
                <w:szCs w:val="16"/>
              </w:rPr>
            </w:pPr>
            <w:r w:rsidRPr="005069FB">
              <w:rPr>
                <w:rFonts w:ascii="Verdana" w:hAnsi="Verdana" w:cs="Arial"/>
                <w:b/>
                <w:i/>
                <w:iCs/>
                <w:sz w:val="16"/>
                <w:szCs w:val="16"/>
              </w:rPr>
              <w:t>F</w:t>
            </w:r>
            <w:r w:rsidRPr="005069FB">
              <w:rPr>
                <w:rFonts w:ascii="Verdana" w:hAnsi="Verdana" w:cs="Arial"/>
                <w:b/>
                <w:i/>
                <w:iCs/>
                <w:sz w:val="16"/>
                <w:szCs w:val="16"/>
                <w:vertAlign w:val="subscript"/>
              </w:rPr>
              <w:t>C</w:t>
            </w:r>
          </w:p>
        </w:tc>
      </w:tr>
      <w:tr w:rsidR="00CF1B34" w:rsidRPr="00897CE6" w14:paraId="5C8E6F2C" w14:textId="77777777" w:rsidTr="00006A93">
        <w:trPr>
          <w:trHeight w:val="283"/>
          <w:jc w:val="center"/>
        </w:trPr>
        <w:tc>
          <w:tcPr>
            <w:tcW w:w="6374" w:type="dxa"/>
            <w:vAlign w:val="center"/>
          </w:tcPr>
          <w:p w14:paraId="18224A03" w14:textId="77777777" w:rsidR="00CF1B34" w:rsidRPr="005069FB" w:rsidRDefault="00CF1B34" w:rsidP="00006A93">
            <w:pPr>
              <w:rPr>
                <w:rFonts w:ascii="Verdana" w:hAnsi="Verdana" w:cs="Arial"/>
                <w:bCs/>
                <w:sz w:val="16"/>
                <w:szCs w:val="16"/>
              </w:rPr>
            </w:pPr>
            <w:r w:rsidRPr="005069FB">
              <w:rPr>
                <w:rFonts w:ascii="Verdana" w:hAnsi="Verdana" w:cs="Arial"/>
                <w:bCs/>
                <w:sz w:val="16"/>
                <w:szCs w:val="16"/>
              </w:rPr>
              <w:t>Pesos colombianos – Moneda de curso legal en Colombia (COP)</w:t>
            </w:r>
          </w:p>
        </w:tc>
        <w:tc>
          <w:tcPr>
            <w:tcW w:w="992" w:type="dxa"/>
            <w:vAlign w:val="center"/>
          </w:tcPr>
          <w:p w14:paraId="767E0B8F" w14:textId="77777777" w:rsidR="00CF1B34" w:rsidRPr="005069FB" w:rsidRDefault="00CF1B34" w:rsidP="00006A93">
            <w:pPr>
              <w:jc w:val="center"/>
              <w:rPr>
                <w:rFonts w:ascii="Verdana" w:hAnsi="Verdana" w:cs="Arial"/>
                <w:bCs/>
                <w:sz w:val="16"/>
                <w:szCs w:val="16"/>
              </w:rPr>
            </w:pPr>
            <w:r w:rsidRPr="005069FB">
              <w:rPr>
                <w:rFonts w:ascii="Verdana" w:hAnsi="Verdana" w:cs="Arial"/>
                <w:bCs/>
                <w:sz w:val="16"/>
                <w:szCs w:val="16"/>
              </w:rPr>
              <w:t>0%</w:t>
            </w:r>
          </w:p>
        </w:tc>
      </w:tr>
      <w:tr w:rsidR="00CF1B34" w:rsidRPr="00897CE6" w14:paraId="6AFA1E9E" w14:textId="77777777" w:rsidTr="00006A93">
        <w:trPr>
          <w:trHeight w:val="283"/>
          <w:jc w:val="center"/>
        </w:trPr>
        <w:tc>
          <w:tcPr>
            <w:tcW w:w="6374" w:type="dxa"/>
            <w:vAlign w:val="center"/>
          </w:tcPr>
          <w:p w14:paraId="5F4BDF7F" w14:textId="77777777" w:rsidR="00CF1B34" w:rsidRPr="005069FB" w:rsidRDefault="00CF1B34" w:rsidP="00006A93">
            <w:pPr>
              <w:rPr>
                <w:rFonts w:ascii="Verdana" w:hAnsi="Verdana" w:cs="Arial"/>
                <w:bCs/>
                <w:sz w:val="16"/>
                <w:szCs w:val="16"/>
              </w:rPr>
            </w:pPr>
            <w:r w:rsidRPr="005069FB">
              <w:rPr>
                <w:rFonts w:ascii="Verdana" w:hAnsi="Verdana" w:cs="Arial"/>
                <w:bCs/>
                <w:sz w:val="16"/>
                <w:szCs w:val="16"/>
              </w:rPr>
              <w:t>Dólares de lo Estados Unidos de Norteamérica (USD)</w:t>
            </w:r>
          </w:p>
        </w:tc>
        <w:tc>
          <w:tcPr>
            <w:tcW w:w="992" w:type="dxa"/>
            <w:vAlign w:val="center"/>
          </w:tcPr>
          <w:p w14:paraId="7CC9F648" w14:textId="77777777" w:rsidR="00CF1B34" w:rsidRPr="005069FB" w:rsidRDefault="00CF1B34" w:rsidP="00006A93">
            <w:pPr>
              <w:jc w:val="center"/>
              <w:rPr>
                <w:rFonts w:ascii="Verdana" w:hAnsi="Verdana" w:cs="Arial"/>
                <w:bCs/>
                <w:sz w:val="16"/>
                <w:szCs w:val="16"/>
              </w:rPr>
            </w:pPr>
            <w:r w:rsidRPr="005069FB">
              <w:rPr>
                <w:rFonts w:ascii="Verdana" w:hAnsi="Verdana" w:cs="Arial"/>
                <w:bCs/>
                <w:sz w:val="16"/>
                <w:szCs w:val="16"/>
              </w:rPr>
              <w:t>8%</w:t>
            </w:r>
          </w:p>
        </w:tc>
      </w:tr>
      <w:tr w:rsidR="00CF1B34" w:rsidRPr="00897CE6" w14:paraId="31F474CD" w14:textId="77777777" w:rsidTr="00006A93">
        <w:trPr>
          <w:trHeight w:val="283"/>
          <w:jc w:val="center"/>
        </w:trPr>
        <w:tc>
          <w:tcPr>
            <w:tcW w:w="6374" w:type="dxa"/>
            <w:vAlign w:val="center"/>
          </w:tcPr>
          <w:p w14:paraId="187573FC" w14:textId="77777777" w:rsidR="00CF1B34" w:rsidRPr="005069FB" w:rsidRDefault="00CF1B34" w:rsidP="00006A93">
            <w:pPr>
              <w:rPr>
                <w:rFonts w:ascii="Verdana" w:hAnsi="Verdana" w:cs="Arial"/>
                <w:bCs/>
                <w:sz w:val="16"/>
                <w:szCs w:val="16"/>
              </w:rPr>
            </w:pPr>
            <w:r w:rsidRPr="005069FB">
              <w:rPr>
                <w:rFonts w:ascii="Verdana" w:hAnsi="Verdana" w:cs="Arial"/>
                <w:bCs/>
                <w:sz w:val="16"/>
                <w:szCs w:val="16"/>
              </w:rPr>
              <w:t>Otras monedas extranjeras</w:t>
            </w:r>
          </w:p>
        </w:tc>
        <w:tc>
          <w:tcPr>
            <w:tcW w:w="992" w:type="dxa"/>
            <w:vAlign w:val="center"/>
          </w:tcPr>
          <w:p w14:paraId="6CEF4344" w14:textId="77777777" w:rsidR="00CF1B34" w:rsidRPr="005069FB" w:rsidRDefault="00CF1B34" w:rsidP="00006A93">
            <w:pPr>
              <w:jc w:val="center"/>
              <w:rPr>
                <w:rFonts w:ascii="Verdana" w:hAnsi="Verdana" w:cs="Arial"/>
                <w:bCs/>
                <w:sz w:val="16"/>
                <w:szCs w:val="16"/>
              </w:rPr>
            </w:pPr>
            <w:r w:rsidRPr="005069FB">
              <w:rPr>
                <w:rFonts w:ascii="Verdana" w:hAnsi="Verdana" w:cs="Arial"/>
                <w:bCs/>
                <w:sz w:val="16"/>
                <w:szCs w:val="16"/>
              </w:rPr>
              <w:t>30%</w:t>
            </w:r>
          </w:p>
        </w:tc>
      </w:tr>
    </w:tbl>
    <w:p w14:paraId="0A31A1EF" w14:textId="77777777" w:rsidR="00CF1B34" w:rsidRPr="00897CE6" w:rsidRDefault="00CF1B34" w:rsidP="00CF1B34">
      <w:pPr>
        <w:jc w:val="both"/>
        <w:rPr>
          <w:rFonts w:ascii="Verdana" w:hAnsi="Verdana" w:cs="Arial"/>
          <w:bCs/>
          <w:sz w:val="20"/>
          <w:szCs w:val="20"/>
        </w:rPr>
      </w:pPr>
    </w:p>
    <w:p w14:paraId="715C8C3F" w14:textId="1B4367F3" w:rsidR="00150681" w:rsidRPr="001B7405" w:rsidRDefault="00150681" w:rsidP="00150681">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2.10.2.</w:t>
      </w:r>
      <w:r>
        <w:rPr>
          <w:rFonts w:ascii="Verdana" w:hAnsi="Verdana" w:cs="Arial"/>
          <w:bCs/>
          <w:sz w:val="20"/>
          <w:szCs w:val="20"/>
        </w:rPr>
        <w:t>5</w:t>
      </w:r>
      <w:r w:rsidR="00170972">
        <w:rPr>
          <w:rFonts w:ascii="Verdana" w:hAnsi="Verdana" w:cs="Arial"/>
          <w:bCs/>
          <w:sz w:val="20"/>
          <w:szCs w:val="20"/>
        </w:rPr>
        <w:t>8</w:t>
      </w:r>
      <w:r w:rsidRPr="001B7405">
        <w:rPr>
          <w:rFonts w:ascii="Verdana" w:hAnsi="Verdana" w:cs="Arial"/>
          <w:bCs/>
          <w:sz w:val="20"/>
          <w:szCs w:val="20"/>
        </w:rPr>
        <w:t>.</w:t>
      </w:r>
    </w:p>
    <w:p w14:paraId="2D1E0FEA" w14:textId="34833B71" w:rsidR="00CF1B34" w:rsidRPr="00897CE6" w:rsidRDefault="00CF1B34" w:rsidP="00CF1B34">
      <w:pPr>
        <w:jc w:val="both"/>
        <w:rPr>
          <w:rFonts w:ascii="Verdana" w:hAnsi="Verdana" w:cs="Arial"/>
          <w:bCs/>
          <w:sz w:val="20"/>
          <w:szCs w:val="20"/>
        </w:rPr>
      </w:pPr>
      <w:r w:rsidRPr="00897CE6">
        <w:rPr>
          <w:rFonts w:ascii="Verdana" w:hAnsi="Verdana" w:cs="Arial"/>
          <w:bCs/>
          <w:sz w:val="20"/>
          <w:szCs w:val="20"/>
        </w:rPr>
        <w:t xml:space="preserve">En cualquier caso, las garantías previstas anteriormente deben cumplir los requisitos de admisibilidad del artículo 2.1.2.1.5 del Decreto 2555 de 2010 y los requisitos de idoneidad establecidos </w:t>
      </w:r>
      <w:r w:rsidRPr="00293E16">
        <w:rPr>
          <w:rFonts w:ascii="Verdana" w:hAnsi="Verdana" w:cs="Arial"/>
          <w:bCs/>
          <w:sz w:val="20"/>
          <w:szCs w:val="20"/>
        </w:rPr>
        <w:t xml:space="preserve">en el </w:t>
      </w:r>
      <w:r w:rsidR="00293E16" w:rsidRPr="00293E16">
        <w:rPr>
          <w:rFonts w:ascii="Verdana" w:hAnsi="Verdana" w:cs="Arial"/>
          <w:bCs/>
          <w:sz w:val="20"/>
          <w:szCs w:val="20"/>
        </w:rPr>
        <w:t>párrafo 2.10.2.</w:t>
      </w:r>
      <w:r w:rsidR="0044337D">
        <w:rPr>
          <w:rFonts w:ascii="Verdana" w:hAnsi="Verdana" w:cs="Arial"/>
          <w:bCs/>
          <w:sz w:val="20"/>
          <w:szCs w:val="20"/>
        </w:rPr>
        <w:t>54</w:t>
      </w:r>
      <w:r w:rsidRPr="00293E16">
        <w:rPr>
          <w:rFonts w:ascii="Verdana" w:hAnsi="Verdana" w:cs="Arial"/>
          <w:bCs/>
          <w:sz w:val="20"/>
          <w:szCs w:val="20"/>
        </w:rPr>
        <w:t>. Igualmente</w:t>
      </w:r>
      <w:r w:rsidRPr="00897CE6">
        <w:rPr>
          <w:rFonts w:ascii="Verdana" w:hAnsi="Verdana" w:cs="Arial"/>
          <w:bCs/>
          <w:sz w:val="20"/>
          <w:szCs w:val="20"/>
        </w:rPr>
        <w:t>, el valor de la exposición (</w:t>
      </w:r>
      <m:oMath>
        <m:r>
          <w:rPr>
            <w:rFonts w:ascii="Cambria Math" w:hAnsi="Cambria Math" w:cs="Arial"/>
            <w:sz w:val="20"/>
            <w:szCs w:val="20"/>
          </w:rPr>
          <m:t>VE</m:t>
        </m:r>
      </m:oMath>
      <w:r w:rsidRPr="00897CE6">
        <w:rPr>
          <w:rFonts w:ascii="Verdana" w:hAnsi="Verdana" w:cs="Arial"/>
          <w:bCs/>
          <w:sz w:val="20"/>
          <w:szCs w:val="20"/>
        </w:rPr>
        <w:t>), una vez deducido el valor de las garantías idóneas y admisibles para mitigar el valor de las grandes exposiciones, no puede ser inferior al 20% del valor bruto de la exposición (</w:t>
      </w:r>
      <m:oMath>
        <m:r>
          <w:rPr>
            <w:rFonts w:ascii="Cambria Math" w:hAnsi="Cambria Math" w:cs="Arial"/>
            <w:sz w:val="20"/>
            <w:szCs w:val="20"/>
          </w:rPr>
          <m:t>VB</m:t>
        </m:r>
      </m:oMath>
      <w:r w:rsidRPr="00897CE6">
        <w:rPr>
          <w:rFonts w:ascii="Verdana" w:hAnsi="Verdana" w:cs="Arial"/>
          <w:bCs/>
          <w:sz w:val="20"/>
          <w:szCs w:val="20"/>
        </w:rPr>
        <w:t xml:space="preserve">). </w:t>
      </w:r>
    </w:p>
    <w:p w14:paraId="17B9812D" w14:textId="2FE5E5AA" w:rsidR="00150681" w:rsidRPr="001B7405" w:rsidRDefault="00150681" w:rsidP="00150681">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2.10.2.</w:t>
      </w:r>
      <w:r>
        <w:rPr>
          <w:rFonts w:ascii="Verdana" w:hAnsi="Verdana" w:cs="Arial"/>
          <w:bCs/>
          <w:sz w:val="20"/>
          <w:szCs w:val="20"/>
        </w:rPr>
        <w:t>5</w:t>
      </w:r>
      <w:r w:rsidR="00170972">
        <w:rPr>
          <w:rFonts w:ascii="Verdana" w:hAnsi="Verdana" w:cs="Arial"/>
          <w:bCs/>
          <w:sz w:val="20"/>
          <w:szCs w:val="20"/>
        </w:rPr>
        <w:t>9</w:t>
      </w:r>
      <w:r w:rsidRPr="001B7405">
        <w:rPr>
          <w:rFonts w:ascii="Verdana" w:hAnsi="Verdana" w:cs="Arial"/>
          <w:bCs/>
          <w:sz w:val="20"/>
          <w:szCs w:val="20"/>
        </w:rPr>
        <w:t>.</w:t>
      </w:r>
    </w:p>
    <w:p w14:paraId="626F1402" w14:textId="503B3809" w:rsidR="00CF1B34" w:rsidRPr="00897CE6" w:rsidRDefault="00CF1B34" w:rsidP="00CF1B34">
      <w:pPr>
        <w:jc w:val="both"/>
        <w:rPr>
          <w:rFonts w:ascii="Verdana" w:hAnsi="Verdana" w:cs="Arial"/>
          <w:bCs/>
          <w:sz w:val="20"/>
          <w:szCs w:val="20"/>
        </w:rPr>
      </w:pPr>
      <w:r w:rsidRPr="00897CE6">
        <w:rPr>
          <w:rFonts w:ascii="Verdana" w:hAnsi="Verdana" w:cs="Arial"/>
          <w:bCs/>
          <w:sz w:val="20"/>
          <w:szCs w:val="20"/>
        </w:rPr>
        <w:t xml:space="preserve">Para el caso de las exposiciones en instrumentos financieros derivados, se consideran garantías idóneas para efectos del control a los límites de las grandes exposiciones, las garantías previstas en el </w:t>
      </w:r>
      <w:r w:rsidR="00293E16">
        <w:rPr>
          <w:rFonts w:ascii="Verdana" w:hAnsi="Verdana" w:cs="Arial"/>
          <w:bCs/>
          <w:sz w:val="20"/>
          <w:szCs w:val="20"/>
        </w:rPr>
        <w:t xml:space="preserve">capítulo 5 de la parte 3 de la </w:t>
      </w:r>
      <w:r w:rsidR="00F32ACD">
        <w:rPr>
          <w:rFonts w:ascii="Verdana" w:hAnsi="Verdana" w:cs="Arial"/>
          <w:bCs/>
          <w:sz w:val="20"/>
          <w:szCs w:val="20"/>
        </w:rPr>
        <w:t>CBF</w:t>
      </w:r>
      <w:r w:rsidR="00293E16">
        <w:rPr>
          <w:rFonts w:ascii="Verdana" w:hAnsi="Verdana" w:cs="Arial"/>
          <w:bCs/>
          <w:sz w:val="20"/>
          <w:szCs w:val="20"/>
        </w:rPr>
        <w:t>.</w:t>
      </w:r>
    </w:p>
    <w:p w14:paraId="169F58DF" w14:textId="196C6701" w:rsidR="00150681" w:rsidRPr="001B7405" w:rsidRDefault="00150681" w:rsidP="00150681">
      <w:pPr>
        <w:tabs>
          <w:tab w:val="left" w:pos="540"/>
        </w:tabs>
        <w:spacing w:after="0" w:line="240" w:lineRule="auto"/>
        <w:jc w:val="both"/>
        <w:rPr>
          <w:rFonts w:ascii="Verdana" w:hAnsi="Verdana" w:cs="Arial"/>
          <w:bCs/>
          <w:sz w:val="20"/>
          <w:szCs w:val="20"/>
        </w:rPr>
      </w:pPr>
      <w:r w:rsidRPr="001B7405">
        <w:rPr>
          <w:rFonts w:ascii="Verdana" w:hAnsi="Verdana" w:cs="Arial"/>
          <w:bCs/>
          <w:sz w:val="20"/>
          <w:szCs w:val="20"/>
        </w:rPr>
        <w:t>2.10.2.</w:t>
      </w:r>
      <w:r w:rsidR="00170972">
        <w:rPr>
          <w:rFonts w:ascii="Verdana" w:hAnsi="Verdana" w:cs="Arial"/>
          <w:bCs/>
          <w:sz w:val="20"/>
          <w:szCs w:val="20"/>
        </w:rPr>
        <w:t>60</w:t>
      </w:r>
      <w:r w:rsidRPr="001B7405">
        <w:rPr>
          <w:rFonts w:ascii="Verdana" w:hAnsi="Verdana" w:cs="Arial"/>
          <w:bCs/>
          <w:sz w:val="20"/>
          <w:szCs w:val="20"/>
        </w:rPr>
        <w:t>.</w:t>
      </w:r>
    </w:p>
    <w:p w14:paraId="3E9F16E2" w14:textId="30FA3727" w:rsidR="00CF1B34" w:rsidRPr="00897CE6" w:rsidRDefault="00CF1B34" w:rsidP="2A78066E">
      <w:pPr>
        <w:jc w:val="both"/>
        <w:rPr>
          <w:rStyle w:val="normaltextrun"/>
          <w:rFonts w:ascii="Verdana" w:hAnsi="Verdana" w:cs="Arial"/>
          <w:b/>
          <w:bCs/>
          <w:sz w:val="20"/>
          <w:szCs w:val="20"/>
          <w:lang w:eastAsia="es-CO"/>
        </w:rPr>
      </w:pPr>
      <w:r w:rsidRPr="2A78066E">
        <w:rPr>
          <w:rFonts w:ascii="Verdana" w:hAnsi="Verdana" w:cs="Arial"/>
          <w:sz w:val="20"/>
          <w:szCs w:val="20"/>
        </w:rPr>
        <w:t>De acuerdo con lo dispuesto en el parágrafo del artículo 2.1.2.1.3 del Decreto 2555 de 2010, cuando el valor de una exposición sea mitigado por concepto de una garantía idónea y admisible para efectos de grandes exposiciones, el valor de la correspondiente garantía computará como una exposición respecto de quien actúa como garante.</w:t>
      </w:r>
    </w:p>
    <w:sectPr w:rsidR="00CF1B34" w:rsidRPr="00897CE6" w:rsidSect="003C558F">
      <w:headerReference w:type="default" r:id="rId11"/>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121FA" w14:textId="77777777" w:rsidR="00E3083B" w:rsidRDefault="00E3083B" w:rsidP="00057BF6">
      <w:pPr>
        <w:spacing w:after="0" w:line="240" w:lineRule="auto"/>
      </w:pPr>
      <w:r>
        <w:separator/>
      </w:r>
    </w:p>
  </w:endnote>
  <w:endnote w:type="continuationSeparator" w:id="0">
    <w:p w14:paraId="5CB17312" w14:textId="77777777" w:rsidR="00E3083B" w:rsidRDefault="00E3083B" w:rsidP="00057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7C589" w14:textId="77777777" w:rsidR="00E3083B" w:rsidRDefault="00E3083B" w:rsidP="00057BF6">
      <w:pPr>
        <w:spacing w:after="0" w:line="240" w:lineRule="auto"/>
      </w:pPr>
      <w:r>
        <w:separator/>
      </w:r>
    </w:p>
  </w:footnote>
  <w:footnote w:type="continuationSeparator" w:id="0">
    <w:p w14:paraId="4BAF1022" w14:textId="77777777" w:rsidR="00E3083B" w:rsidRDefault="00E3083B" w:rsidP="00057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5B3"/>
    <w:multiLevelType w:val="hybridMultilevel"/>
    <w:tmpl w:val="BCA804A4"/>
    <w:lvl w:ilvl="0" w:tplc="ADEA8CDE">
      <w:start w:val="1"/>
      <w:numFmt w:val="lowerLetter"/>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E1F4F31"/>
    <w:multiLevelType w:val="hybridMultilevel"/>
    <w:tmpl w:val="3D4886C6"/>
    <w:lvl w:ilvl="0" w:tplc="DA628EB0">
      <w:start w:val="1"/>
      <w:numFmt w:val="lowerLetter"/>
      <w:pStyle w:val="Normal9pt"/>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 w15:restartNumberingAfterBreak="0">
    <w:nsid w:val="21B273F6"/>
    <w:multiLevelType w:val="hybridMultilevel"/>
    <w:tmpl w:val="A4A4AFA8"/>
    <w:lvl w:ilvl="0" w:tplc="256E7382">
      <w:start w:val="1"/>
      <w:numFmt w:val="lowerRoman"/>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3160804"/>
    <w:multiLevelType w:val="hybridMultilevel"/>
    <w:tmpl w:val="790C3CD6"/>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 w15:restartNumberingAfterBreak="0">
    <w:nsid w:val="4BFB2EF8"/>
    <w:multiLevelType w:val="hybridMultilevel"/>
    <w:tmpl w:val="3852F8C2"/>
    <w:lvl w:ilvl="0" w:tplc="78C0E582">
      <w:start w:val="4"/>
      <w:numFmt w:val="lowerLetter"/>
      <w:lvlText w:val="%1)"/>
      <w:lvlJc w:val="left"/>
      <w:pPr>
        <w:tabs>
          <w:tab w:val="num" w:pos="360"/>
        </w:tabs>
        <w:ind w:left="360" w:hanging="360"/>
      </w:pPr>
      <w:rPr>
        <w:rFonts w:hint="default"/>
      </w:rPr>
    </w:lvl>
    <w:lvl w:ilvl="1" w:tplc="0C0A0019" w:tentative="1">
      <w:start w:val="1"/>
      <w:numFmt w:val="lowerLetter"/>
      <w:pStyle w:val="Titulo3"/>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5" w15:restartNumberingAfterBreak="0">
    <w:nsid w:val="4C1E59F0"/>
    <w:multiLevelType w:val="hybridMultilevel"/>
    <w:tmpl w:val="FDE291B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DC706BD"/>
    <w:multiLevelType w:val="hybridMultilevel"/>
    <w:tmpl w:val="0CAA5210"/>
    <w:lvl w:ilvl="0" w:tplc="256E7382">
      <w:start w:val="1"/>
      <w:numFmt w:val="lowerRoman"/>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E2952AB"/>
    <w:multiLevelType w:val="hybridMultilevel"/>
    <w:tmpl w:val="BBF2D60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585A4F94"/>
    <w:multiLevelType w:val="hybridMultilevel"/>
    <w:tmpl w:val="381CFD7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87C5A4E"/>
    <w:multiLevelType w:val="multilevel"/>
    <w:tmpl w:val="B178F4EE"/>
    <w:lvl w:ilvl="0">
      <w:start w:val="1"/>
      <w:numFmt w:val="decimal"/>
      <w:lvlText w:val="%1"/>
      <w:lvlJc w:val="left"/>
      <w:pPr>
        <w:tabs>
          <w:tab w:val="num" w:pos="360"/>
        </w:tabs>
        <w:ind w:left="360" w:hanging="360"/>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6"/>
        <w:u w:val="none"/>
        <w:effect w:val="none"/>
        <w:bdr w:val="none" w:sz="0" w:space="0" w:color="auto"/>
        <w:shd w:val="clear" w:color="auto" w:fill="auto"/>
        <w:vertAlign w:val="baseline"/>
        <w:em w:val="none"/>
      </w:rPr>
    </w:lvl>
    <w:lvl w:ilvl="1">
      <w:start w:val="1"/>
      <w:numFmt w:val="decimal"/>
      <w:pStyle w:val="Titulo"/>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2.%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15:restartNumberingAfterBreak="0">
    <w:nsid w:val="5E512661"/>
    <w:multiLevelType w:val="hybridMultilevel"/>
    <w:tmpl w:val="187466DC"/>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B630104"/>
    <w:multiLevelType w:val="multilevel"/>
    <w:tmpl w:val="2D403710"/>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71BC0310"/>
    <w:multiLevelType w:val="hybridMultilevel"/>
    <w:tmpl w:val="4C688BD2"/>
    <w:lvl w:ilvl="0" w:tplc="A7028A54">
      <w:start w:val="2"/>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16cid:durableId="1272319543">
    <w:abstractNumId w:val="9"/>
  </w:num>
  <w:num w:numId="2" w16cid:durableId="13268970">
    <w:abstractNumId w:val="4"/>
  </w:num>
  <w:num w:numId="3" w16cid:durableId="2088377171">
    <w:abstractNumId w:val="5"/>
  </w:num>
  <w:num w:numId="4" w16cid:durableId="613739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2023674">
    <w:abstractNumId w:val="6"/>
  </w:num>
  <w:num w:numId="6" w16cid:durableId="1362125057">
    <w:abstractNumId w:val="2"/>
  </w:num>
  <w:num w:numId="7" w16cid:durableId="284623343">
    <w:abstractNumId w:val="10"/>
  </w:num>
  <w:num w:numId="8" w16cid:durableId="160237049">
    <w:abstractNumId w:val="12"/>
  </w:num>
  <w:num w:numId="9" w16cid:durableId="753085667">
    <w:abstractNumId w:val="7"/>
  </w:num>
  <w:num w:numId="10" w16cid:durableId="1164860660">
    <w:abstractNumId w:val="8"/>
  </w:num>
  <w:num w:numId="11" w16cid:durableId="1278485785">
    <w:abstractNumId w:val="0"/>
  </w:num>
  <w:num w:numId="12" w16cid:durableId="1391264453">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663783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12195"/>
    <w:rsid w:val="000266C0"/>
    <w:rsid w:val="00041912"/>
    <w:rsid w:val="00052DFF"/>
    <w:rsid w:val="000556E1"/>
    <w:rsid w:val="00057BF6"/>
    <w:rsid w:val="00062C41"/>
    <w:rsid w:val="000633A9"/>
    <w:rsid w:val="00063A7E"/>
    <w:rsid w:val="0006736C"/>
    <w:rsid w:val="000726CB"/>
    <w:rsid w:val="00074901"/>
    <w:rsid w:val="00094F1D"/>
    <w:rsid w:val="00096D47"/>
    <w:rsid w:val="000A3CD7"/>
    <w:rsid w:val="000A6003"/>
    <w:rsid w:val="000C2766"/>
    <w:rsid w:val="000E241D"/>
    <w:rsid w:val="001202A8"/>
    <w:rsid w:val="00121456"/>
    <w:rsid w:val="00123624"/>
    <w:rsid w:val="00124E5D"/>
    <w:rsid w:val="00130946"/>
    <w:rsid w:val="001348CE"/>
    <w:rsid w:val="00142DAA"/>
    <w:rsid w:val="00150681"/>
    <w:rsid w:val="00161E04"/>
    <w:rsid w:val="0016571A"/>
    <w:rsid w:val="00167902"/>
    <w:rsid w:val="00167FC2"/>
    <w:rsid w:val="00170972"/>
    <w:rsid w:val="0017409E"/>
    <w:rsid w:val="00175A00"/>
    <w:rsid w:val="001909B8"/>
    <w:rsid w:val="00197652"/>
    <w:rsid w:val="001B2D94"/>
    <w:rsid w:val="001B5187"/>
    <w:rsid w:val="001B7405"/>
    <w:rsid w:val="001D4094"/>
    <w:rsid w:val="001E54FA"/>
    <w:rsid w:val="001E7327"/>
    <w:rsid w:val="001F0A8F"/>
    <w:rsid w:val="001F1301"/>
    <w:rsid w:val="001F3CA5"/>
    <w:rsid w:val="001F613C"/>
    <w:rsid w:val="00202282"/>
    <w:rsid w:val="0021666A"/>
    <w:rsid w:val="00220C63"/>
    <w:rsid w:val="002238FA"/>
    <w:rsid w:val="00223961"/>
    <w:rsid w:val="00241783"/>
    <w:rsid w:val="00270F09"/>
    <w:rsid w:val="00274EC9"/>
    <w:rsid w:val="002761BE"/>
    <w:rsid w:val="00283F7F"/>
    <w:rsid w:val="0028459F"/>
    <w:rsid w:val="0028604A"/>
    <w:rsid w:val="00291BFB"/>
    <w:rsid w:val="00293E16"/>
    <w:rsid w:val="00296886"/>
    <w:rsid w:val="002B2AFF"/>
    <w:rsid w:val="002B4F4A"/>
    <w:rsid w:val="002D28F8"/>
    <w:rsid w:val="002D4356"/>
    <w:rsid w:val="002D5B57"/>
    <w:rsid w:val="002E14D4"/>
    <w:rsid w:val="002F284E"/>
    <w:rsid w:val="002F5CF4"/>
    <w:rsid w:val="003053F6"/>
    <w:rsid w:val="00314092"/>
    <w:rsid w:val="003235D3"/>
    <w:rsid w:val="00323DA0"/>
    <w:rsid w:val="00331180"/>
    <w:rsid w:val="00341A1F"/>
    <w:rsid w:val="00347F96"/>
    <w:rsid w:val="00351884"/>
    <w:rsid w:val="003567E5"/>
    <w:rsid w:val="00372D5E"/>
    <w:rsid w:val="00372F9A"/>
    <w:rsid w:val="00383897"/>
    <w:rsid w:val="00391E88"/>
    <w:rsid w:val="003A0C0D"/>
    <w:rsid w:val="003A1FEE"/>
    <w:rsid w:val="003A2462"/>
    <w:rsid w:val="003A5CFE"/>
    <w:rsid w:val="003B23A7"/>
    <w:rsid w:val="003C21DD"/>
    <w:rsid w:val="003C558F"/>
    <w:rsid w:val="003C6B51"/>
    <w:rsid w:val="003D1947"/>
    <w:rsid w:val="003D39FB"/>
    <w:rsid w:val="003E40E1"/>
    <w:rsid w:val="003E7CC6"/>
    <w:rsid w:val="004046FE"/>
    <w:rsid w:val="0040498E"/>
    <w:rsid w:val="00405030"/>
    <w:rsid w:val="00406196"/>
    <w:rsid w:val="00406D2B"/>
    <w:rsid w:val="00406DB4"/>
    <w:rsid w:val="0041228D"/>
    <w:rsid w:val="00413860"/>
    <w:rsid w:val="00421E96"/>
    <w:rsid w:val="00423153"/>
    <w:rsid w:val="00425E38"/>
    <w:rsid w:val="0043223D"/>
    <w:rsid w:val="0044337D"/>
    <w:rsid w:val="004552C9"/>
    <w:rsid w:val="00455BC9"/>
    <w:rsid w:val="00466C95"/>
    <w:rsid w:val="00481C10"/>
    <w:rsid w:val="00493EE8"/>
    <w:rsid w:val="00497389"/>
    <w:rsid w:val="004A3C87"/>
    <w:rsid w:val="004B4FD8"/>
    <w:rsid w:val="004C1585"/>
    <w:rsid w:val="004C5F41"/>
    <w:rsid w:val="004D5065"/>
    <w:rsid w:val="004D6D3C"/>
    <w:rsid w:val="004F190C"/>
    <w:rsid w:val="004F2A2D"/>
    <w:rsid w:val="005069FB"/>
    <w:rsid w:val="00524632"/>
    <w:rsid w:val="00536A1C"/>
    <w:rsid w:val="00536D67"/>
    <w:rsid w:val="00544318"/>
    <w:rsid w:val="005445CE"/>
    <w:rsid w:val="00555522"/>
    <w:rsid w:val="0055785C"/>
    <w:rsid w:val="00557AC5"/>
    <w:rsid w:val="00585503"/>
    <w:rsid w:val="005862E2"/>
    <w:rsid w:val="005875D5"/>
    <w:rsid w:val="00595C52"/>
    <w:rsid w:val="00596B88"/>
    <w:rsid w:val="005B07C8"/>
    <w:rsid w:val="005B1D8B"/>
    <w:rsid w:val="005B38F4"/>
    <w:rsid w:val="005B67C2"/>
    <w:rsid w:val="005D5B13"/>
    <w:rsid w:val="005D5DD5"/>
    <w:rsid w:val="005E02E5"/>
    <w:rsid w:val="005E42E5"/>
    <w:rsid w:val="005F10C2"/>
    <w:rsid w:val="005F36ED"/>
    <w:rsid w:val="00612DFD"/>
    <w:rsid w:val="0061423F"/>
    <w:rsid w:val="006212B3"/>
    <w:rsid w:val="00621FBF"/>
    <w:rsid w:val="006337B6"/>
    <w:rsid w:val="00641394"/>
    <w:rsid w:val="00650AD3"/>
    <w:rsid w:val="00656861"/>
    <w:rsid w:val="00674CBE"/>
    <w:rsid w:val="0068442C"/>
    <w:rsid w:val="006869A2"/>
    <w:rsid w:val="006A343D"/>
    <w:rsid w:val="006B0C09"/>
    <w:rsid w:val="006B45F6"/>
    <w:rsid w:val="006C1A3C"/>
    <w:rsid w:val="006C1D3C"/>
    <w:rsid w:val="006C2C41"/>
    <w:rsid w:val="006D3922"/>
    <w:rsid w:val="006E0737"/>
    <w:rsid w:val="0072130F"/>
    <w:rsid w:val="00721D02"/>
    <w:rsid w:val="00726B0E"/>
    <w:rsid w:val="00732F2D"/>
    <w:rsid w:val="00735892"/>
    <w:rsid w:val="007409A5"/>
    <w:rsid w:val="007553B9"/>
    <w:rsid w:val="00783FDA"/>
    <w:rsid w:val="00792679"/>
    <w:rsid w:val="007A302E"/>
    <w:rsid w:val="007B1074"/>
    <w:rsid w:val="007B1333"/>
    <w:rsid w:val="007B6199"/>
    <w:rsid w:val="007C738A"/>
    <w:rsid w:val="007F55DE"/>
    <w:rsid w:val="00815895"/>
    <w:rsid w:val="00821C3C"/>
    <w:rsid w:val="00836463"/>
    <w:rsid w:val="008454F9"/>
    <w:rsid w:val="00857253"/>
    <w:rsid w:val="00857B61"/>
    <w:rsid w:val="008708A3"/>
    <w:rsid w:val="008920D0"/>
    <w:rsid w:val="00892F03"/>
    <w:rsid w:val="00897CE6"/>
    <w:rsid w:val="008D1D63"/>
    <w:rsid w:val="008D62A4"/>
    <w:rsid w:val="008E4958"/>
    <w:rsid w:val="008E5AA8"/>
    <w:rsid w:val="009265C4"/>
    <w:rsid w:val="009374F2"/>
    <w:rsid w:val="009501B2"/>
    <w:rsid w:val="00956EC8"/>
    <w:rsid w:val="009571FD"/>
    <w:rsid w:val="009604C6"/>
    <w:rsid w:val="00965F57"/>
    <w:rsid w:val="009664BD"/>
    <w:rsid w:val="009764E1"/>
    <w:rsid w:val="00985104"/>
    <w:rsid w:val="009A2823"/>
    <w:rsid w:val="009A49A2"/>
    <w:rsid w:val="009B50DB"/>
    <w:rsid w:val="009B6D85"/>
    <w:rsid w:val="009C2A39"/>
    <w:rsid w:val="009D20E4"/>
    <w:rsid w:val="009D6127"/>
    <w:rsid w:val="009E3647"/>
    <w:rsid w:val="009E5A35"/>
    <w:rsid w:val="009E776C"/>
    <w:rsid w:val="00A01579"/>
    <w:rsid w:val="00A1418F"/>
    <w:rsid w:val="00A14207"/>
    <w:rsid w:val="00A27F69"/>
    <w:rsid w:val="00A30D71"/>
    <w:rsid w:val="00A41E5E"/>
    <w:rsid w:val="00A42687"/>
    <w:rsid w:val="00A457A5"/>
    <w:rsid w:val="00A46B95"/>
    <w:rsid w:val="00A64995"/>
    <w:rsid w:val="00A75814"/>
    <w:rsid w:val="00A81596"/>
    <w:rsid w:val="00A85791"/>
    <w:rsid w:val="00A915FE"/>
    <w:rsid w:val="00AB0072"/>
    <w:rsid w:val="00AC0EC4"/>
    <w:rsid w:val="00AD229F"/>
    <w:rsid w:val="00AE0E70"/>
    <w:rsid w:val="00B262CA"/>
    <w:rsid w:val="00B432F9"/>
    <w:rsid w:val="00B52BC5"/>
    <w:rsid w:val="00B76192"/>
    <w:rsid w:val="00B761A2"/>
    <w:rsid w:val="00B97564"/>
    <w:rsid w:val="00BB1F24"/>
    <w:rsid w:val="00BB4B70"/>
    <w:rsid w:val="00BC7EFA"/>
    <w:rsid w:val="00BD0F7F"/>
    <w:rsid w:val="00BD47C9"/>
    <w:rsid w:val="00BD5B10"/>
    <w:rsid w:val="00BE5125"/>
    <w:rsid w:val="00BE5626"/>
    <w:rsid w:val="00BF2C6C"/>
    <w:rsid w:val="00C07A6B"/>
    <w:rsid w:val="00C1451A"/>
    <w:rsid w:val="00C230E4"/>
    <w:rsid w:val="00C2321E"/>
    <w:rsid w:val="00C32520"/>
    <w:rsid w:val="00C446DC"/>
    <w:rsid w:val="00C45335"/>
    <w:rsid w:val="00C5221F"/>
    <w:rsid w:val="00C56CC0"/>
    <w:rsid w:val="00C765FC"/>
    <w:rsid w:val="00C80E3B"/>
    <w:rsid w:val="00CA3069"/>
    <w:rsid w:val="00CB3077"/>
    <w:rsid w:val="00CB557C"/>
    <w:rsid w:val="00CB66BC"/>
    <w:rsid w:val="00CC3647"/>
    <w:rsid w:val="00CC6142"/>
    <w:rsid w:val="00CD07F8"/>
    <w:rsid w:val="00CE11BA"/>
    <w:rsid w:val="00CE4751"/>
    <w:rsid w:val="00CE4808"/>
    <w:rsid w:val="00CF12B4"/>
    <w:rsid w:val="00CF1B34"/>
    <w:rsid w:val="00D0066B"/>
    <w:rsid w:val="00D051C8"/>
    <w:rsid w:val="00D10E92"/>
    <w:rsid w:val="00D153F9"/>
    <w:rsid w:val="00D25BB6"/>
    <w:rsid w:val="00D26702"/>
    <w:rsid w:val="00D32139"/>
    <w:rsid w:val="00D32ABD"/>
    <w:rsid w:val="00D350D9"/>
    <w:rsid w:val="00D4174D"/>
    <w:rsid w:val="00D46B0C"/>
    <w:rsid w:val="00D507F6"/>
    <w:rsid w:val="00D6061B"/>
    <w:rsid w:val="00D64560"/>
    <w:rsid w:val="00D75E82"/>
    <w:rsid w:val="00D93E56"/>
    <w:rsid w:val="00D9760F"/>
    <w:rsid w:val="00DA0C0E"/>
    <w:rsid w:val="00DB135E"/>
    <w:rsid w:val="00DB3370"/>
    <w:rsid w:val="00DC6724"/>
    <w:rsid w:val="00DD09C7"/>
    <w:rsid w:val="00DD6626"/>
    <w:rsid w:val="00E02140"/>
    <w:rsid w:val="00E038C7"/>
    <w:rsid w:val="00E03CCC"/>
    <w:rsid w:val="00E3083B"/>
    <w:rsid w:val="00E32CD7"/>
    <w:rsid w:val="00E460EC"/>
    <w:rsid w:val="00E46E88"/>
    <w:rsid w:val="00E86223"/>
    <w:rsid w:val="00ED05B4"/>
    <w:rsid w:val="00ED308F"/>
    <w:rsid w:val="00EE38EC"/>
    <w:rsid w:val="00EE3AD7"/>
    <w:rsid w:val="00EF4749"/>
    <w:rsid w:val="00EF502C"/>
    <w:rsid w:val="00F05207"/>
    <w:rsid w:val="00F06BB7"/>
    <w:rsid w:val="00F07E73"/>
    <w:rsid w:val="00F207CD"/>
    <w:rsid w:val="00F26324"/>
    <w:rsid w:val="00F32ACD"/>
    <w:rsid w:val="00F34EC7"/>
    <w:rsid w:val="00F44B7D"/>
    <w:rsid w:val="00F540C3"/>
    <w:rsid w:val="00F617CA"/>
    <w:rsid w:val="00F77B60"/>
    <w:rsid w:val="00F8332E"/>
    <w:rsid w:val="00F9154C"/>
    <w:rsid w:val="00FB17AF"/>
    <w:rsid w:val="00FB321D"/>
    <w:rsid w:val="00FC5F72"/>
    <w:rsid w:val="00FF4188"/>
    <w:rsid w:val="2A78066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542C7A95-EB57-49ED-8ECD-A1F12FD96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BB7"/>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uiPriority w:val="10"/>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basedOn w:val="Normal"/>
    <w:link w:val="PrrafodelistaCar"/>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rsid w:val="00057BF6"/>
  </w:style>
  <w:style w:type="paragraph" w:styleId="Piedepgina">
    <w:name w:val="footer"/>
    <w:basedOn w:val="Normal"/>
    <w:link w:val="PiedepginaCar"/>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rsid w:val="00057BF6"/>
  </w:style>
  <w:style w:type="paragraph" w:styleId="Textoindependiente2">
    <w:name w:val="Body Text 2"/>
    <w:basedOn w:val="Normal"/>
    <w:link w:val="Textoindependiente2Car"/>
    <w:rsid w:val="00CF1B34"/>
    <w:pPr>
      <w:spacing w:after="0" w:line="240" w:lineRule="auto"/>
      <w:jc w:val="both"/>
    </w:pPr>
    <w:rPr>
      <w:rFonts w:ascii="Arial" w:eastAsia="Times New Roman" w:hAnsi="Arial" w:cs="Times New Roman"/>
      <w:kern w:val="0"/>
      <w:sz w:val="18"/>
      <w:szCs w:val="20"/>
      <w:lang w:val="es-ES" w:eastAsia="es-CO"/>
      <w14:ligatures w14:val="none"/>
    </w:rPr>
  </w:style>
  <w:style w:type="character" w:customStyle="1" w:styleId="Textoindependiente2Car">
    <w:name w:val="Texto independiente 2 Car"/>
    <w:basedOn w:val="Fuentedeprrafopredeter"/>
    <w:link w:val="Textoindependiente2"/>
    <w:rsid w:val="00CF1B34"/>
    <w:rPr>
      <w:rFonts w:ascii="Arial" w:eastAsia="Times New Roman" w:hAnsi="Arial" w:cs="Times New Roman"/>
      <w:kern w:val="0"/>
      <w:sz w:val="18"/>
      <w:szCs w:val="20"/>
      <w:lang w:val="es-ES" w:eastAsia="es-CO"/>
      <w14:ligatures w14:val="none"/>
    </w:rPr>
  </w:style>
  <w:style w:type="character" w:styleId="Nmerodepgina">
    <w:name w:val="page number"/>
    <w:rsid w:val="00CF1B34"/>
    <w:rPr>
      <w:rFonts w:cs="Times New Roman"/>
    </w:rPr>
  </w:style>
  <w:style w:type="paragraph" w:styleId="Sangradetextonormal">
    <w:name w:val="Body Text Indent"/>
    <w:basedOn w:val="Normal"/>
    <w:link w:val="SangradetextonormalCar"/>
    <w:rsid w:val="00CF1B34"/>
    <w:pPr>
      <w:tabs>
        <w:tab w:val="left" w:pos="720"/>
      </w:tabs>
      <w:spacing w:after="0" w:line="240" w:lineRule="auto"/>
      <w:ind w:left="720" w:hanging="360"/>
      <w:jc w:val="both"/>
    </w:pPr>
    <w:rPr>
      <w:rFonts w:ascii="Arial" w:eastAsia="Times New Roman" w:hAnsi="Arial" w:cs="Arial"/>
      <w:kern w:val="0"/>
      <w:sz w:val="24"/>
      <w:szCs w:val="18"/>
      <w:lang w:val="es-ES" w:eastAsia="es-ES"/>
      <w14:ligatures w14:val="none"/>
    </w:rPr>
  </w:style>
  <w:style w:type="character" w:customStyle="1" w:styleId="SangradetextonormalCar">
    <w:name w:val="Sangría de texto normal Car"/>
    <w:basedOn w:val="Fuentedeprrafopredeter"/>
    <w:link w:val="Sangradetextonormal"/>
    <w:rsid w:val="00CF1B34"/>
    <w:rPr>
      <w:rFonts w:ascii="Arial" w:eastAsia="Times New Roman" w:hAnsi="Arial" w:cs="Arial"/>
      <w:kern w:val="0"/>
      <w:sz w:val="24"/>
      <w:szCs w:val="18"/>
      <w:lang w:val="es-ES" w:eastAsia="es-ES"/>
      <w14:ligatures w14:val="none"/>
    </w:rPr>
  </w:style>
  <w:style w:type="paragraph" w:styleId="Textoindependiente">
    <w:name w:val="Body Text"/>
    <w:basedOn w:val="Normal"/>
    <w:link w:val="TextoindependienteCar"/>
    <w:rsid w:val="00CF1B34"/>
    <w:pPr>
      <w:spacing w:after="0" w:line="240" w:lineRule="auto"/>
      <w:jc w:val="both"/>
    </w:pPr>
    <w:rPr>
      <w:rFonts w:ascii="Arial" w:eastAsia="Times New Roman" w:hAnsi="Arial" w:cs="Arial"/>
      <w:kern w:val="0"/>
      <w:sz w:val="24"/>
      <w:szCs w:val="18"/>
      <w:lang w:val="es-ES" w:eastAsia="es-ES"/>
      <w14:ligatures w14:val="none"/>
    </w:rPr>
  </w:style>
  <w:style w:type="character" w:customStyle="1" w:styleId="TextoindependienteCar">
    <w:name w:val="Texto independiente Car"/>
    <w:basedOn w:val="Fuentedeprrafopredeter"/>
    <w:link w:val="Textoindependiente"/>
    <w:rsid w:val="00CF1B34"/>
    <w:rPr>
      <w:rFonts w:ascii="Arial" w:eastAsia="Times New Roman" w:hAnsi="Arial" w:cs="Arial"/>
      <w:kern w:val="0"/>
      <w:sz w:val="24"/>
      <w:szCs w:val="18"/>
      <w:lang w:val="es-ES" w:eastAsia="es-ES"/>
      <w14:ligatures w14:val="none"/>
    </w:rPr>
  </w:style>
  <w:style w:type="paragraph" w:customStyle="1" w:styleId="Titulo">
    <w:name w:val="Titulo"/>
    <w:basedOn w:val="Textoindependiente2"/>
    <w:rsid w:val="00CF1B34"/>
    <w:pPr>
      <w:numPr>
        <w:ilvl w:val="1"/>
        <w:numId w:val="1"/>
      </w:numPr>
      <w:tabs>
        <w:tab w:val="clear" w:pos="502"/>
      </w:tabs>
      <w:ind w:left="0" w:firstLine="0"/>
    </w:pPr>
  </w:style>
  <w:style w:type="paragraph" w:customStyle="1" w:styleId="Titulo2">
    <w:name w:val="Titulo 2"/>
    <w:basedOn w:val="Ttulo2"/>
    <w:next w:val="Ttulo2"/>
    <w:autoRedefine/>
    <w:qFormat/>
    <w:rsid w:val="00CF1B34"/>
    <w:pPr>
      <w:spacing w:before="0" w:after="0" w:line="276" w:lineRule="auto"/>
    </w:pPr>
    <w:rPr>
      <w:rFonts w:ascii="Arial" w:eastAsia="Times New Roman" w:hAnsi="Arial" w:cs="Times New Roman"/>
      <w:b/>
      <w:bCs/>
      <w:color w:val="auto"/>
      <w:kern w:val="0"/>
      <w:sz w:val="16"/>
      <w:szCs w:val="26"/>
      <w:lang w:val="es-ES" w:eastAsia="es-ES"/>
      <w14:ligatures w14:val="none"/>
    </w:rPr>
  </w:style>
  <w:style w:type="character" w:customStyle="1" w:styleId="Titulo3Car">
    <w:name w:val="Titulo 3 Car"/>
    <w:link w:val="Titulo3"/>
    <w:qFormat/>
    <w:rsid w:val="00CF1B34"/>
    <w:rPr>
      <w:rFonts w:ascii="Arial" w:hAnsi="Arial" w:cs="Arial"/>
      <w:b/>
      <w:bCs/>
      <w:sz w:val="16"/>
      <w:szCs w:val="24"/>
      <w:lang w:val="es-ES" w:eastAsia="es-ES"/>
    </w:rPr>
  </w:style>
  <w:style w:type="paragraph" w:styleId="Textocomentario">
    <w:name w:val="annotation text"/>
    <w:basedOn w:val="Normal"/>
    <w:link w:val="TextocomentarioCar"/>
    <w:rsid w:val="00CF1B34"/>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rsid w:val="00CF1B34"/>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CF1B34"/>
    <w:rPr>
      <w:b/>
      <w:bCs/>
    </w:rPr>
  </w:style>
  <w:style w:type="character" w:customStyle="1" w:styleId="AsuntodelcomentarioCar">
    <w:name w:val="Asunto del comentario Car"/>
    <w:basedOn w:val="TextocomentarioCar"/>
    <w:link w:val="Asuntodelcomentario"/>
    <w:rsid w:val="00CF1B34"/>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rsid w:val="00CF1B34"/>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rsid w:val="00CF1B34"/>
    <w:rPr>
      <w:rFonts w:ascii="Tahoma" w:eastAsia="Times New Roman" w:hAnsi="Tahoma" w:cs="Tahoma"/>
      <w:kern w:val="0"/>
      <w:sz w:val="16"/>
      <w:szCs w:val="16"/>
      <w:lang w:val="es-ES" w:eastAsia="es-ES"/>
      <w14:ligatures w14:val="none"/>
    </w:rPr>
  </w:style>
  <w:style w:type="paragraph" w:styleId="TDC1">
    <w:name w:val="toc 1"/>
    <w:basedOn w:val="Normal"/>
    <w:next w:val="Normal"/>
    <w:autoRedefine/>
    <w:uiPriority w:val="39"/>
    <w:qFormat/>
    <w:rsid w:val="00CF1B34"/>
    <w:pPr>
      <w:tabs>
        <w:tab w:val="left" w:pos="440"/>
        <w:tab w:val="right" w:leader="dot" w:pos="8828"/>
      </w:tabs>
      <w:spacing w:after="0" w:line="276" w:lineRule="auto"/>
    </w:pPr>
    <w:rPr>
      <w:rFonts w:ascii="Arial" w:eastAsia="Times New Roman" w:hAnsi="Arial" w:cs="Arial"/>
      <w:b/>
      <w:bCs/>
      <w:noProof/>
      <w:kern w:val="0"/>
      <w:sz w:val="16"/>
      <w:szCs w:val="16"/>
      <w:lang w:val="es-ES" w:eastAsia="es-ES"/>
      <w14:ligatures w14:val="none"/>
    </w:rPr>
  </w:style>
  <w:style w:type="character" w:styleId="Hipervnculo">
    <w:name w:val="Hyperlink"/>
    <w:uiPriority w:val="99"/>
    <w:unhideWhenUsed/>
    <w:rsid w:val="00CF1B34"/>
    <w:rPr>
      <w:color w:val="0000FF"/>
      <w:u w:val="single"/>
    </w:rPr>
  </w:style>
  <w:style w:type="paragraph" w:styleId="TDC2">
    <w:name w:val="toc 2"/>
    <w:basedOn w:val="Normal"/>
    <w:next w:val="Normal"/>
    <w:autoRedefine/>
    <w:uiPriority w:val="39"/>
    <w:unhideWhenUsed/>
    <w:qFormat/>
    <w:rsid w:val="00CF1B34"/>
    <w:pPr>
      <w:spacing w:after="100" w:line="276" w:lineRule="auto"/>
      <w:ind w:left="220"/>
    </w:pPr>
    <w:rPr>
      <w:rFonts w:ascii="Calibri" w:eastAsia="Times New Roman" w:hAnsi="Calibri" w:cs="Times New Roman"/>
      <w:kern w:val="0"/>
      <w:lang w:eastAsia="es-CO"/>
      <w14:ligatures w14:val="none"/>
    </w:rPr>
  </w:style>
  <w:style w:type="paragraph" w:styleId="TDC3">
    <w:name w:val="toc 3"/>
    <w:basedOn w:val="Normal"/>
    <w:next w:val="Normal"/>
    <w:autoRedefine/>
    <w:uiPriority w:val="39"/>
    <w:unhideWhenUsed/>
    <w:qFormat/>
    <w:rsid w:val="00CF1B34"/>
    <w:pPr>
      <w:spacing w:after="100" w:line="276" w:lineRule="auto"/>
      <w:ind w:left="440"/>
    </w:pPr>
    <w:rPr>
      <w:rFonts w:ascii="Calibri" w:eastAsia="Times New Roman" w:hAnsi="Calibri" w:cs="Times New Roman"/>
      <w:kern w:val="0"/>
      <w:lang w:eastAsia="es-CO"/>
      <w14:ligatures w14:val="none"/>
    </w:rPr>
  </w:style>
  <w:style w:type="character" w:styleId="Refdecomentario">
    <w:name w:val="annotation reference"/>
    <w:rsid w:val="00CF1B34"/>
    <w:rPr>
      <w:sz w:val="16"/>
      <w:szCs w:val="16"/>
    </w:rPr>
  </w:style>
  <w:style w:type="paragraph" w:styleId="Revisin">
    <w:name w:val="Revision"/>
    <w:hidden/>
    <w:uiPriority w:val="99"/>
    <w:semiHidden/>
    <w:rsid w:val="00CF1B34"/>
    <w:pPr>
      <w:spacing w:after="0" w:line="240" w:lineRule="auto"/>
    </w:pPr>
    <w:rPr>
      <w:rFonts w:ascii="Times New Roman" w:eastAsia="Times New Roman" w:hAnsi="Times New Roman" w:cs="Times New Roman"/>
      <w:kern w:val="0"/>
      <w:sz w:val="24"/>
      <w:szCs w:val="24"/>
      <w:lang w:val="es-ES" w:eastAsia="es-ES"/>
      <w14:ligatures w14:val="none"/>
    </w:rPr>
  </w:style>
  <w:style w:type="character" w:customStyle="1" w:styleId="cf01">
    <w:name w:val="cf01"/>
    <w:rsid w:val="00CF1B34"/>
    <w:rPr>
      <w:rFonts w:ascii="Segoe UI" w:hAnsi="Segoe UI" w:cs="Segoe UI" w:hint="default"/>
      <w:sz w:val="18"/>
      <w:szCs w:val="18"/>
    </w:rPr>
  </w:style>
  <w:style w:type="character" w:customStyle="1" w:styleId="normaltextrun">
    <w:name w:val="normaltextrun"/>
    <w:basedOn w:val="Fuentedeprrafopredeter"/>
    <w:rsid w:val="00CF1B34"/>
  </w:style>
  <w:style w:type="character" w:customStyle="1" w:styleId="eop">
    <w:name w:val="eop"/>
    <w:basedOn w:val="Fuentedeprrafopredeter"/>
    <w:rsid w:val="00CF1B34"/>
  </w:style>
  <w:style w:type="paragraph" w:customStyle="1" w:styleId="paragraph">
    <w:name w:val="paragraph"/>
    <w:basedOn w:val="Normal"/>
    <w:rsid w:val="00CF1B34"/>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PrrafodelistaCar">
    <w:name w:val="Párrafo de lista Car"/>
    <w:link w:val="Prrafodelista"/>
    <w:uiPriority w:val="34"/>
    <w:locked/>
    <w:rsid w:val="00CF1B34"/>
  </w:style>
  <w:style w:type="paragraph" w:customStyle="1" w:styleId="Default">
    <w:name w:val="Default"/>
    <w:rsid w:val="00CF1B34"/>
    <w:pPr>
      <w:autoSpaceDE w:val="0"/>
      <w:autoSpaceDN w:val="0"/>
      <w:adjustRightInd w:val="0"/>
      <w:spacing w:after="0" w:line="240" w:lineRule="auto"/>
    </w:pPr>
    <w:rPr>
      <w:rFonts w:ascii="Arial" w:hAnsi="Arial" w:cs="Arial"/>
      <w:color w:val="000000"/>
      <w:kern w:val="0"/>
      <w:sz w:val="24"/>
      <w:szCs w:val="24"/>
      <w14:ligatures w14:val="none"/>
    </w:rPr>
  </w:style>
  <w:style w:type="paragraph" w:customStyle="1" w:styleId="Titulo3">
    <w:name w:val="Titulo 3"/>
    <w:basedOn w:val="Titulo"/>
    <w:link w:val="Titulo3Car"/>
    <w:rsid w:val="00CF1B34"/>
    <w:pPr>
      <w:numPr>
        <w:numId w:val="2"/>
      </w:numPr>
    </w:pPr>
    <w:rPr>
      <w:rFonts w:eastAsiaTheme="minorHAnsi" w:cs="Arial"/>
      <w:b/>
      <w:bCs/>
      <w:kern w:val="2"/>
      <w:sz w:val="16"/>
      <w:szCs w:val="24"/>
      <w:lang w:eastAsia="es-ES"/>
      <w14:ligatures w14:val="standardContextual"/>
    </w:rPr>
  </w:style>
  <w:style w:type="table" w:styleId="Tablaconcuadrcula">
    <w:name w:val="Table Grid"/>
    <w:basedOn w:val="Tablanormal"/>
    <w:uiPriority w:val="39"/>
    <w:rsid w:val="00CF1B3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CF1B34"/>
    <w:rPr>
      <w:color w:val="808080"/>
    </w:rPr>
  </w:style>
  <w:style w:type="character" w:styleId="Mencinsinresolver">
    <w:name w:val="Unresolved Mention"/>
    <w:basedOn w:val="Fuentedeprrafopredeter"/>
    <w:uiPriority w:val="99"/>
    <w:semiHidden/>
    <w:unhideWhenUsed/>
    <w:rsid w:val="00CF1B34"/>
    <w:rPr>
      <w:color w:val="605E5C"/>
      <w:shd w:val="clear" w:color="auto" w:fill="E1DFDD"/>
    </w:rPr>
  </w:style>
  <w:style w:type="paragraph" w:customStyle="1" w:styleId="Normal9pt">
    <w:name w:val="Normal + 9 pt"/>
    <w:aliases w:val="Sin Expandido / Comprimido"/>
    <w:basedOn w:val="Normal"/>
    <w:rsid w:val="00CF1B34"/>
    <w:pPr>
      <w:numPr>
        <w:numId w:val="4"/>
      </w:numPr>
      <w:spacing w:after="0" w:line="240" w:lineRule="auto"/>
      <w:ind w:left="0" w:firstLine="0"/>
      <w:jc w:val="both"/>
    </w:pPr>
    <w:rPr>
      <w:rFonts w:ascii="Arial" w:hAnsi="Arial" w:cs="Arial"/>
      <w:i/>
      <w:iCs/>
      <w:kern w:val="0"/>
      <w:sz w:val="18"/>
      <w:szCs w:val="18"/>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048873">
      <w:bodyDiv w:val="1"/>
      <w:marLeft w:val="0"/>
      <w:marRight w:val="0"/>
      <w:marTop w:val="0"/>
      <w:marBottom w:val="0"/>
      <w:divBdr>
        <w:top w:val="none" w:sz="0" w:space="0" w:color="auto"/>
        <w:left w:val="none" w:sz="0" w:space="0" w:color="auto"/>
        <w:bottom w:val="none" w:sz="0" w:space="0" w:color="auto"/>
        <w:right w:val="none" w:sz="0" w:space="0" w:color="auto"/>
      </w:divBdr>
    </w:div>
    <w:div w:id="867334208">
      <w:bodyDiv w:val="1"/>
      <w:marLeft w:val="0"/>
      <w:marRight w:val="0"/>
      <w:marTop w:val="0"/>
      <w:marBottom w:val="0"/>
      <w:divBdr>
        <w:top w:val="none" w:sz="0" w:space="0" w:color="auto"/>
        <w:left w:val="none" w:sz="0" w:space="0" w:color="auto"/>
        <w:bottom w:val="none" w:sz="0" w:space="0" w:color="auto"/>
        <w:right w:val="none" w:sz="0" w:space="0" w:color="auto"/>
      </w:divBdr>
    </w:div>
    <w:div w:id="98496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E59E95-8A6F-49C4-A33C-3CB9C037F707}">
  <ds:schemaRefs>
    <ds:schemaRef ds:uri="http://schemas.openxmlformats.org/package/2006/metadata/core-properties"/>
    <ds:schemaRef ds:uri="http://schemas.microsoft.com/office/2006/metadata/properties"/>
    <ds:schemaRef ds:uri="http://www.w3.org/XML/1998/namespace"/>
    <ds:schemaRef ds:uri="http://purl.org/dc/elements/1.1/"/>
    <ds:schemaRef ds:uri="http://purl.org/dc/dcmitype/"/>
    <ds:schemaRef ds:uri="http://schemas.microsoft.com/office/infopath/2007/PartnerControls"/>
    <ds:schemaRef ds:uri="http://schemas.microsoft.com/office/2006/documentManagement/types"/>
    <ds:schemaRef ds:uri="9056d983-1374-4724-9f8d-2ef5b64379db"/>
    <ds:schemaRef ds:uri="http://purl.org/dc/terms/"/>
  </ds:schemaRefs>
</ds:datastoreItem>
</file>

<file path=customXml/itemProps2.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3.xml><?xml version="1.0" encoding="utf-8"?>
<ds:datastoreItem xmlns:ds="http://schemas.openxmlformats.org/officeDocument/2006/customXml" ds:itemID="{D1A41562-EECE-4E4A-A541-649806EF3F10}">
  <ds:schemaRefs>
    <ds:schemaRef ds:uri="http://schemas.openxmlformats.org/officeDocument/2006/bibliography"/>
  </ds:schemaRefs>
</ds:datastoreItem>
</file>

<file path=customXml/itemProps4.xml><?xml version="1.0" encoding="utf-8"?>
<ds:datastoreItem xmlns:ds="http://schemas.openxmlformats.org/officeDocument/2006/customXml" ds:itemID="{11210D8A-43A6-409E-A6E7-89D3DD2AB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10</Pages>
  <Words>5726</Words>
  <Characters>31488</Characters>
  <Application>Microsoft Office Word</Application>
  <DocSecurity>0</DocSecurity>
  <Lines>625</Lines>
  <Paragraphs>196</Paragraphs>
  <ScaleCrop>false</ScaleCrop>
  <Company/>
  <LinksUpToDate>false</LinksUpToDate>
  <CharactersWithSpaces>37061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Sebastian Duran Mendez</cp:lastModifiedBy>
  <cp:revision>361</cp:revision>
  <dcterms:created xsi:type="dcterms:W3CDTF">2024-10-16T02:45:00Z</dcterms:created>
  <dcterms:modified xsi:type="dcterms:W3CDTF">2026-04-13T19:13:00Z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80700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